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beforeLines="100" w:after="240" w:afterLines="100"/>
        <w:ind w:firstLine="0" w:firstLineChars="0"/>
        <w:jc w:val="center"/>
        <w:rPr>
          <w:rFonts w:ascii="黑体" w:hAnsi="华文中宋" w:eastAsia="黑体"/>
          <w:b/>
          <w:color w:val="auto"/>
          <w:kern w:val="0"/>
          <w:sz w:val="50"/>
          <w:szCs w:val="44"/>
          <w:highlight w:val="none"/>
        </w:rPr>
      </w:pPr>
    </w:p>
    <w:p>
      <w:pPr>
        <w:widowControl/>
        <w:spacing w:before="240" w:beforeLines="100" w:after="240" w:afterLines="100"/>
        <w:ind w:firstLine="0" w:firstLineChars="0"/>
        <w:jc w:val="center"/>
        <w:rPr>
          <w:rFonts w:ascii="黑体" w:hAnsi="华文中宋" w:eastAsia="黑体"/>
          <w:b/>
          <w:color w:val="auto"/>
          <w:kern w:val="0"/>
          <w:sz w:val="50"/>
          <w:szCs w:val="44"/>
          <w:highlight w:val="none"/>
        </w:rPr>
      </w:pPr>
    </w:p>
    <w:p>
      <w:pPr>
        <w:widowControl/>
        <w:spacing w:before="240" w:beforeLines="100" w:after="240" w:afterLines="100"/>
        <w:ind w:firstLine="0" w:firstLineChars="0"/>
        <w:jc w:val="center"/>
        <w:rPr>
          <w:rFonts w:ascii="黑体" w:hAnsi="华文中宋" w:eastAsia="黑体"/>
          <w:b/>
          <w:color w:val="auto"/>
          <w:kern w:val="0"/>
          <w:sz w:val="50"/>
          <w:szCs w:val="44"/>
          <w:highlight w:val="none"/>
        </w:rPr>
      </w:pPr>
    </w:p>
    <w:p>
      <w:pPr>
        <w:widowControl/>
        <w:ind w:firstLine="0" w:firstLineChars="0"/>
        <w:jc w:val="center"/>
        <w:rPr>
          <w:rFonts w:ascii="黑体" w:eastAsia="黑体"/>
          <w:b/>
          <w:color w:val="auto"/>
          <w:kern w:val="0"/>
          <w:sz w:val="52"/>
          <w:szCs w:val="52"/>
          <w:highlight w:val="none"/>
        </w:rPr>
      </w:pPr>
      <w:r>
        <w:rPr>
          <w:rFonts w:hint="eastAsia" w:ascii="黑体" w:eastAsia="黑体"/>
          <w:b/>
          <w:color w:val="auto"/>
          <w:kern w:val="0"/>
          <w:sz w:val="52"/>
          <w:szCs w:val="52"/>
          <w:highlight w:val="none"/>
        </w:rPr>
        <w:t>电子商务专业</w:t>
      </w:r>
    </w:p>
    <w:p>
      <w:pPr>
        <w:widowControl/>
        <w:ind w:firstLine="0" w:firstLineChars="0"/>
        <w:jc w:val="center"/>
        <w:rPr>
          <w:rFonts w:ascii="黑体" w:eastAsia="黑体"/>
          <w:b/>
          <w:color w:val="auto"/>
          <w:kern w:val="0"/>
          <w:sz w:val="52"/>
          <w:szCs w:val="52"/>
          <w:highlight w:val="none"/>
        </w:rPr>
      </w:pPr>
      <w:r>
        <w:rPr>
          <w:rFonts w:hint="eastAsia" w:ascii="黑体" w:eastAsia="黑体"/>
          <w:b/>
          <w:color w:val="auto"/>
          <w:kern w:val="0"/>
          <w:sz w:val="52"/>
          <w:szCs w:val="52"/>
          <w:highlight w:val="none"/>
        </w:rPr>
        <w:t>人才培养方案</w:t>
      </w:r>
    </w:p>
    <w:p>
      <w:pPr>
        <w:widowControl/>
        <w:ind w:firstLine="0" w:firstLineChars="0"/>
        <w:jc w:val="center"/>
        <w:rPr>
          <w:rFonts w:ascii="黑体" w:eastAsia="黑体"/>
          <w:b/>
          <w:color w:val="auto"/>
          <w:kern w:val="0"/>
          <w:sz w:val="52"/>
          <w:szCs w:val="52"/>
          <w:highlight w:val="none"/>
        </w:rPr>
      </w:pPr>
    </w:p>
    <w:p>
      <w:pPr>
        <w:widowControl/>
        <w:ind w:firstLine="0" w:firstLineChars="0"/>
        <w:jc w:val="center"/>
        <w:rPr>
          <w:color w:val="auto"/>
          <w:kern w:val="0"/>
          <w:highlight w:val="none"/>
        </w:rPr>
      </w:pPr>
    </w:p>
    <w:p>
      <w:pPr>
        <w:widowControl/>
        <w:ind w:firstLine="0" w:firstLineChars="0"/>
        <w:jc w:val="center"/>
        <w:rPr>
          <w:rFonts w:ascii="黑体" w:eastAsia="黑体"/>
          <w:b/>
          <w:color w:val="auto"/>
          <w:kern w:val="0"/>
          <w:sz w:val="50"/>
          <w:szCs w:val="44"/>
          <w:highlight w:val="none"/>
        </w:rPr>
      </w:pPr>
    </w:p>
    <w:p>
      <w:pPr>
        <w:widowControl/>
        <w:ind w:firstLine="0" w:firstLineChars="0"/>
        <w:jc w:val="center"/>
        <w:rPr>
          <w:rFonts w:ascii="黑体" w:eastAsia="黑体"/>
          <w:b/>
          <w:color w:val="auto"/>
          <w:kern w:val="0"/>
          <w:sz w:val="50"/>
          <w:szCs w:val="44"/>
          <w:highlight w:val="none"/>
        </w:rPr>
      </w:pPr>
    </w:p>
    <w:p>
      <w:pPr>
        <w:widowControl/>
        <w:ind w:firstLine="0" w:firstLineChars="0"/>
        <w:jc w:val="center"/>
        <w:rPr>
          <w:rFonts w:ascii="黑体" w:eastAsia="黑体"/>
          <w:b/>
          <w:color w:val="auto"/>
          <w:kern w:val="0"/>
          <w:sz w:val="50"/>
          <w:szCs w:val="44"/>
          <w:highlight w:val="none"/>
        </w:rPr>
      </w:pPr>
    </w:p>
    <w:p>
      <w:pPr>
        <w:widowControl/>
        <w:ind w:firstLine="0" w:firstLineChars="0"/>
        <w:jc w:val="center"/>
        <w:rPr>
          <w:rFonts w:ascii="黑体" w:eastAsia="黑体"/>
          <w:b/>
          <w:color w:val="auto"/>
          <w:kern w:val="0"/>
          <w:sz w:val="30"/>
          <w:szCs w:val="30"/>
          <w:highlight w:val="none"/>
        </w:rPr>
      </w:pPr>
    </w:p>
    <w:p>
      <w:pPr>
        <w:ind w:firstLine="0" w:firstLineChars="0"/>
        <w:jc w:val="center"/>
        <w:rPr>
          <w:rFonts w:ascii="黑体" w:eastAsia="黑体"/>
          <w:b/>
          <w:color w:val="auto"/>
          <w:kern w:val="0"/>
          <w:sz w:val="30"/>
          <w:szCs w:val="30"/>
          <w:highlight w:val="none"/>
        </w:rPr>
      </w:pPr>
    </w:p>
    <w:p>
      <w:pPr>
        <w:ind w:firstLine="0" w:firstLineChars="0"/>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二〇二</w:t>
      </w:r>
      <w:r>
        <w:rPr>
          <w:rFonts w:hint="eastAsia" w:ascii="黑体" w:hAnsi="黑体" w:eastAsia="黑体"/>
          <w:color w:val="auto"/>
          <w:sz w:val="30"/>
          <w:szCs w:val="30"/>
          <w:highlight w:val="none"/>
          <w:lang w:val="en-US" w:eastAsia="zh-CN"/>
        </w:rPr>
        <w:t>三</w:t>
      </w:r>
      <w:r>
        <w:rPr>
          <w:rFonts w:hint="eastAsia" w:ascii="黑体" w:hAnsi="黑体" w:eastAsia="黑体"/>
          <w:color w:val="auto"/>
          <w:sz w:val="30"/>
          <w:szCs w:val="30"/>
          <w:highlight w:val="none"/>
        </w:rPr>
        <w:t>年五月</w:t>
      </w:r>
    </w:p>
    <w:p>
      <w:pPr>
        <w:widowControl/>
        <w:tabs>
          <w:tab w:val="center" w:pos="4535"/>
        </w:tabs>
        <w:spacing w:line="240" w:lineRule="auto"/>
        <w:ind w:firstLine="0" w:firstLineChars="0"/>
        <w:jc w:val="left"/>
        <w:rPr>
          <w:color w:val="auto"/>
          <w:kern w:val="0"/>
          <w:highlight w:val="none"/>
        </w:rPr>
      </w:pPr>
    </w:p>
    <w:p>
      <w:pPr>
        <w:ind w:firstLine="0" w:firstLineChars="0"/>
        <w:jc w:val="center"/>
        <w:rPr>
          <w:color w:val="auto"/>
          <w:kern w:val="0"/>
          <w:highlight w:val="none"/>
        </w:rPr>
      </w:pPr>
    </w:p>
    <w:p>
      <w:pPr>
        <w:ind w:firstLine="0" w:firstLineChars="0"/>
        <w:jc w:val="center"/>
        <w:rPr>
          <w:color w:val="auto"/>
          <w:kern w:val="0"/>
          <w:highlight w:val="none"/>
        </w:rPr>
        <w:sectPr>
          <w:headerReference r:id="rId5" w:type="default"/>
          <w:footerReference r:id="rId6" w:type="default"/>
          <w:pgSz w:w="11907" w:h="16840"/>
          <w:pgMar w:top="1418" w:right="1418" w:bottom="1134" w:left="1418" w:header="851" w:footer="907" w:gutter="0"/>
          <w:cols w:space="720" w:num="1"/>
          <w:docGrid w:linePitch="326" w:charSpace="0"/>
        </w:sectPr>
      </w:pPr>
    </w:p>
    <w:p>
      <w:pPr>
        <w:widowControl/>
        <w:ind w:firstLine="0" w:firstLineChars="0"/>
        <w:jc w:val="center"/>
        <w:outlineLvl w:val="0"/>
        <w:rPr>
          <w:color w:val="auto"/>
          <w:highlight w:val="none"/>
        </w:rPr>
      </w:pPr>
      <w:bookmarkStart w:id="0" w:name="_Toc38958841"/>
      <w:r>
        <w:rPr>
          <w:rFonts w:ascii="黑体" w:hAnsi="黑体" w:eastAsia="黑体"/>
          <w:b/>
          <w:color w:val="auto"/>
          <w:sz w:val="32"/>
          <w:szCs w:val="20"/>
          <w:highlight w:val="none"/>
        </w:rPr>
        <w:t>电子商务</w:t>
      </w:r>
      <w:r>
        <w:rPr>
          <w:rFonts w:hint="eastAsia" w:ascii="黑体" w:hAnsi="黑体" w:eastAsia="黑体"/>
          <w:b/>
          <w:color w:val="auto"/>
          <w:sz w:val="32"/>
          <w:szCs w:val="20"/>
          <w:highlight w:val="none"/>
        </w:rPr>
        <w:t>专业人才培养方案</w:t>
      </w:r>
      <w:bookmarkEnd w:id="0"/>
    </w:p>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一、专业名称及专业代码</w:t>
      </w:r>
    </w:p>
    <w:p>
      <w:pPr>
        <w:ind w:firstLine="480"/>
        <w:rPr>
          <w:rFonts w:ascii="Calibri" w:hAnsi="Calibri"/>
          <w:color w:val="auto"/>
          <w:highlight w:val="none"/>
        </w:rPr>
      </w:pPr>
      <w:r>
        <w:rPr>
          <w:rFonts w:hint="eastAsia" w:ascii="Calibri" w:hAnsi="Calibri"/>
          <w:color w:val="auto"/>
          <w:highlight w:val="none"/>
        </w:rPr>
        <w:t>电子商务（</w:t>
      </w:r>
      <w:r>
        <w:rPr>
          <w:rFonts w:ascii="Calibri" w:hAnsi="Calibri"/>
          <w:color w:val="auto"/>
          <w:highlight w:val="none"/>
        </w:rPr>
        <w:t>630801</w:t>
      </w:r>
      <w:r>
        <w:rPr>
          <w:rFonts w:hint="eastAsia" w:ascii="Calibri" w:hAnsi="Calibri"/>
          <w:color w:val="auto"/>
          <w:highlight w:val="none"/>
        </w:rPr>
        <w:t>）</w:t>
      </w:r>
    </w:p>
    <w:p>
      <w:pPr>
        <w:keepNext/>
        <w:keepLines/>
        <w:spacing w:before="120" w:beforeLines="50" w:after="120" w:afterLines="50"/>
        <w:ind w:firstLine="562"/>
        <w:rPr>
          <w:rFonts w:ascii="黑体" w:hAnsi="Arial" w:eastAsia="黑体"/>
          <w:b/>
          <w:bCs/>
          <w:color w:val="auto"/>
          <w:sz w:val="28"/>
          <w:szCs w:val="32"/>
          <w:highlight w:val="none"/>
        </w:rPr>
      </w:pPr>
      <w:r>
        <w:rPr>
          <w:rFonts w:hint="eastAsia" w:ascii="Arial" w:hAnsi="Arial" w:eastAsia="黑体"/>
          <w:b/>
          <w:bCs/>
          <w:color w:val="auto"/>
          <w:sz w:val="28"/>
          <w:szCs w:val="32"/>
          <w:highlight w:val="none"/>
        </w:rPr>
        <w:t>二、入学要求</w:t>
      </w:r>
    </w:p>
    <w:p>
      <w:pPr>
        <w:rPr>
          <w:rFonts w:ascii="Arial" w:hAnsi="Arial" w:eastAsia="黑体" w:cstheme="minorBidi"/>
          <w:b/>
          <w:color w:val="auto"/>
          <w:sz w:val="28"/>
          <w:szCs w:val="32"/>
          <w:highlight w:val="none"/>
          <w:u w:val="single"/>
        </w:rPr>
      </w:pPr>
      <w:r>
        <w:rPr>
          <w:rFonts w:hint="eastAsia" w:asciiTheme="minorHAnsi" w:hAnsiTheme="minorHAnsi" w:cstheme="minorBidi"/>
          <w:color w:val="auto"/>
          <w:kern w:val="44"/>
          <w:highlight w:val="none"/>
        </w:rPr>
        <w:t>普通高中毕业生、“</w:t>
      </w:r>
      <w:r>
        <w:rPr>
          <w:rFonts w:asciiTheme="minorHAnsi" w:hAnsiTheme="minorHAnsi" w:cstheme="minorBidi"/>
          <w:color w:val="auto"/>
          <w:kern w:val="44"/>
          <w:highlight w:val="none"/>
        </w:rPr>
        <w:t>三校生</w:t>
      </w:r>
      <w:r>
        <w:rPr>
          <w:rFonts w:hint="eastAsia" w:asciiTheme="minorHAnsi" w:hAnsiTheme="minorHAnsi" w:cstheme="minorBidi"/>
          <w:color w:val="auto"/>
          <w:kern w:val="44"/>
          <w:highlight w:val="none"/>
        </w:rPr>
        <w:t>”</w:t>
      </w:r>
      <w:r>
        <w:rPr>
          <w:rFonts w:asciiTheme="minorHAnsi" w:hAnsiTheme="minorHAnsi" w:cstheme="minorBidi"/>
          <w:color w:val="auto"/>
          <w:kern w:val="44"/>
          <w:highlight w:val="none"/>
        </w:rPr>
        <w:t>（职高、中专、技校毕业生）</w:t>
      </w:r>
      <w:r>
        <w:rPr>
          <w:rFonts w:hint="eastAsia" w:asciiTheme="minorHAnsi" w:hAnsiTheme="minorHAnsi" w:cstheme="minorBidi"/>
          <w:color w:val="auto"/>
          <w:highlight w:val="none"/>
        </w:rPr>
        <w:t>具有同等学力者</w:t>
      </w:r>
    </w:p>
    <w:p>
      <w:pPr>
        <w:keepNext/>
        <w:keepLines/>
        <w:spacing w:before="120" w:beforeLines="50" w:after="120" w:afterLines="50"/>
        <w:ind w:firstLine="562"/>
        <w:rPr>
          <w:rFonts w:ascii="黑体" w:hAnsi="Arial" w:eastAsia="黑体"/>
          <w:b/>
          <w:bCs/>
          <w:color w:val="auto"/>
          <w:sz w:val="28"/>
          <w:szCs w:val="28"/>
          <w:highlight w:val="none"/>
        </w:rPr>
      </w:pPr>
      <w:r>
        <w:rPr>
          <w:rFonts w:hint="eastAsia" w:ascii="Arial" w:hAnsi="Arial" w:eastAsia="黑体"/>
          <w:b/>
          <w:bCs/>
          <w:color w:val="auto"/>
          <w:sz w:val="28"/>
          <w:szCs w:val="32"/>
          <w:highlight w:val="none"/>
        </w:rPr>
        <w:t>三、学制及修业年限</w:t>
      </w:r>
    </w:p>
    <w:p>
      <w:pPr>
        <w:ind w:firstLine="482"/>
        <w:rPr>
          <w:rFonts w:ascii="宋体" w:hAnsi="宋体" w:cstheme="minorBidi"/>
          <w:color w:val="auto"/>
          <w:highlight w:val="none"/>
        </w:rPr>
      </w:pPr>
      <w:r>
        <w:rPr>
          <w:rFonts w:hint="eastAsia" w:ascii="宋体" w:hAnsi="宋体" w:cstheme="minorBidi"/>
          <w:b/>
          <w:bCs/>
          <w:color w:val="auto"/>
          <w:highlight w:val="none"/>
        </w:rPr>
        <w:t>学制：</w:t>
      </w:r>
      <w:r>
        <w:rPr>
          <w:rFonts w:hint="eastAsia" w:asciiTheme="minorHAnsi" w:hAnsiTheme="minorHAnsi" w:cstheme="minorBidi"/>
          <w:color w:val="auto"/>
          <w:kern w:val="44"/>
          <w:highlight w:val="none"/>
        </w:rPr>
        <w:t>三年</w:t>
      </w:r>
    </w:p>
    <w:p>
      <w:pPr>
        <w:ind w:firstLine="482"/>
        <w:rPr>
          <w:rFonts w:ascii="宋体" w:hAnsi="宋体" w:cstheme="minorBidi"/>
          <w:color w:val="auto"/>
          <w:highlight w:val="none"/>
        </w:rPr>
      </w:pPr>
      <w:r>
        <w:rPr>
          <w:rFonts w:hint="eastAsia" w:ascii="宋体" w:hAnsi="宋体" w:cstheme="minorBidi"/>
          <w:b/>
          <w:bCs/>
          <w:color w:val="auto"/>
          <w:highlight w:val="none"/>
        </w:rPr>
        <w:t>修业年限：</w:t>
      </w:r>
      <w:r>
        <w:rPr>
          <w:rFonts w:hint="eastAsia" w:asciiTheme="minorHAnsi" w:hAnsiTheme="minorHAnsi" w:cstheme="minorBidi"/>
          <w:color w:val="auto"/>
          <w:highlight w:val="none"/>
        </w:rPr>
        <w:t>三年至五年，</w:t>
      </w:r>
      <w:r>
        <w:rPr>
          <w:rFonts w:hint="eastAsia" w:asciiTheme="minorHAnsi" w:hAnsiTheme="minorHAnsi" w:cstheme="minorBidi"/>
          <w:color w:val="auto"/>
          <w:kern w:val="44"/>
          <w:highlight w:val="none"/>
        </w:rPr>
        <w:t>具体依据《河北工业职业技术学院学籍管理规定》执行。</w:t>
      </w:r>
    </w:p>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四、职业面向</w:t>
      </w:r>
    </w:p>
    <w:p>
      <w:pPr>
        <w:ind w:firstLine="470" w:firstLineChars="196"/>
        <w:rPr>
          <w:rFonts w:asciiTheme="minorHAnsi" w:hAnsiTheme="minorHAnsi" w:cstheme="minorBidi"/>
          <w:color w:val="auto"/>
          <w:highlight w:val="none"/>
        </w:rPr>
      </w:pPr>
      <w:r>
        <w:rPr>
          <w:rFonts w:hint="eastAsia" w:asciiTheme="minorHAnsi" w:hAnsiTheme="minorHAnsi" w:cstheme="minorBidi"/>
          <w:color w:val="auto"/>
          <w:highlight w:val="none"/>
          <w:lang w:val="zh-CN"/>
        </w:rPr>
        <w:t>本专业职业面向及</w:t>
      </w:r>
      <w:r>
        <w:rPr>
          <w:rFonts w:hint="eastAsia" w:asciiTheme="minorHAnsi" w:hAnsiTheme="minorHAnsi" w:cstheme="minorBidi"/>
          <w:color w:val="auto"/>
          <w:kern w:val="44"/>
          <w:highlight w:val="none"/>
        </w:rPr>
        <w:t>职业资格或技能等级证书，</w:t>
      </w:r>
      <w:r>
        <w:rPr>
          <w:rFonts w:hint="eastAsia" w:asciiTheme="minorHAnsi" w:hAnsiTheme="minorHAnsi" w:cstheme="minorBidi"/>
          <w:color w:val="auto"/>
          <w:highlight w:val="none"/>
        </w:rPr>
        <w:t>如下表：</w:t>
      </w:r>
    </w:p>
    <w:tbl>
      <w:tblPr>
        <w:tblStyle w:val="4"/>
        <w:tblW w:w="890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1384"/>
        <w:gridCol w:w="1293"/>
        <w:gridCol w:w="1546"/>
        <w:gridCol w:w="1461"/>
        <w:gridCol w:w="1295"/>
        <w:gridCol w:w="19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858" w:hRule="atLeast"/>
          <w:jc w:val="center"/>
        </w:trPr>
        <w:tc>
          <w:tcPr>
            <w:tcW w:w="1384"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所属专业大类（代码）</w:t>
            </w:r>
          </w:p>
        </w:tc>
        <w:tc>
          <w:tcPr>
            <w:tcW w:w="1293"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所属专业类（代码）</w:t>
            </w:r>
          </w:p>
        </w:tc>
        <w:tc>
          <w:tcPr>
            <w:tcW w:w="1546"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对应行业（代码）</w:t>
            </w:r>
          </w:p>
        </w:tc>
        <w:tc>
          <w:tcPr>
            <w:tcW w:w="1461"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主要职业类别（代码）</w:t>
            </w:r>
          </w:p>
        </w:tc>
        <w:tc>
          <w:tcPr>
            <w:tcW w:w="1295"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主要岗位群或技术领域</w:t>
            </w:r>
          </w:p>
        </w:tc>
        <w:tc>
          <w:tcPr>
            <w:tcW w:w="1928"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职业资格证书或技能等级证书举例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1384" w:type="dxa"/>
            <w:tcBorders>
              <w:tl2br w:val="nil"/>
              <w:tr2bl w:val="nil"/>
            </w:tcBorders>
            <w:vAlign w:val="center"/>
          </w:tcPr>
          <w:p>
            <w:pPr>
              <w:spacing w:line="240" w:lineRule="auto"/>
              <w:ind w:firstLine="0" w:firstLineChars="0"/>
              <w:jc w:val="center"/>
              <w:rPr>
                <w:rFonts w:ascii="宋体" w:hAnsi="宋体"/>
                <w:color w:val="auto"/>
                <w:sz w:val="21"/>
                <w:szCs w:val="21"/>
                <w:highlight w:val="none"/>
              </w:rPr>
            </w:pPr>
            <w:r>
              <w:rPr>
                <w:rFonts w:hint="eastAsia" w:ascii="宋体" w:hAnsi="宋体" w:cs="宋体"/>
                <w:color w:val="auto"/>
                <w:sz w:val="21"/>
                <w:szCs w:val="21"/>
                <w:highlight w:val="none"/>
              </w:rPr>
              <w:t>财经商贸大类（</w:t>
            </w:r>
            <w:r>
              <w:rPr>
                <w:rFonts w:ascii="宋体" w:hAnsi="宋体" w:cs="宋体"/>
                <w:color w:val="auto"/>
                <w:sz w:val="21"/>
                <w:szCs w:val="21"/>
                <w:highlight w:val="none"/>
              </w:rPr>
              <w:t>63</w:t>
            </w:r>
            <w:r>
              <w:rPr>
                <w:rFonts w:hint="eastAsia" w:ascii="宋体" w:hAnsi="宋体" w:cs="宋体"/>
                <w:color w:val="auto"/>
                <w:sz w:val="21"/>
                <w:szCs w:val="21"/>
                <w:highlight w:val="none"/>
              </w:rPr>
              <w:t>）</w:t>
            </w:r>
          </w:p>
        </w:tc>
        <w:tc>
          <w:tcPr>
            <w:tcW w:w="1293" w:type="dxa"/>
            <w:tcBorders>
              <w:tl2br w:val="nil"/>
              <w:tr2bl w:val="nil"/>
            </w:tcBorders>
            <w:vAlign w:val="center"/>
          </w:tcPr>
          <w:p>
            <w:pPr>
              <w:spacing w:line="240" w:lineRule="auto"/>
              <w:ind w:firstLine="0" w:firstLineChars="0"/>
              <w:jc w:val="center"/>
              <w:rPr>
                <w:rFonts w:ascii="宋体" w:hAnsi="宋体" w:cs="宋体"/>
                <w:color w:val="auto"/>
                <w:sz w:val="21"/>
                <w:szCs w:val="21"/>
                <w:highlight w:val="none"/>
              </w:rPr>
            </w:pPr>
            <w:r>
              <w:rPr>
                <w:rFonts w:hint="eastAsia" w:ascii="宋体" w:hAnsi="宋体"/>
                <w:color w:val="auto"/>
                <w:sz w:val="21"/>
                <w:szCs w:val="21"/>
                <w:highlight w:val="none"/>
              </w:rPr>
              <w:t>电子商务类</w:t>
            </w:r>
            <w:r>
              <w:rPr>
                <w:rFonts w:hint="eastAsia" w:ascii="宋体" w:hAnsi="宋体" w:cs="宋体"/>
                <w:color w:val="auto"/>
                <w:sz w:val="21"/>
                <w:szCs w:val="21"/>
                <w:highlight w:val="none"/>
              </w:rPr>
              <w:t>（</w:t>
            </w:r>
            <w:r>
              <w:rPr>
                <w:rFonts w:hint="eastAsia" w:ascii="宋体" w:hAnsi="宋体"/>
                <w:color w:val="auto"/>
                <w:sz w:val="21"/>
                <w:szCs w:val="21"/>
                <w:highlight w:val="none"/>
              </w:rPr>
              <w:t>6308</w:t>
            </w:r>
            <w:r>
              <w:rPr>
                <w:rFonts w:hint="eastAsia" w:ascii="宋体" w:hAnsi="宋体" w:cs="宋体"/>
                <w:color w:val="auto"/>
                <w:sz w:val="21"/>
                <w:szCs w:val="21"/>
                <w:highlight w:val="none"/>
              </w:rPr>
              <w:t>）</w:t>
            </w:r>
          </w:p>
        </w:tc>
        <w:tc>
          <w:tcPr>
            <w:tcW w:w="1546" w:type="dxa"/>
            <w:tcBorders>
              <w:tl2br w:val="nil"/>
              <w:tr2bl w:val="nil"/>
            </w:tcBorders>
            <w:vAlign w:val="center"/>
          </w:tcPr>
          <w:p>
            <w:pPr>
              <w:widowControl/>
              <w:spacing w:line="24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互联网和相关服务(64)</w:t>
            </w:r>
          </w:p>
          <w:p>
            <w:pPr>
              <w:widowControl/>
              <w:spacing w:line="24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批发业(51)</w:t>
            </w:r>
          </w:p>
          <w:p>
            <w:pPr>
              <w:widowControl/>
              <w:spacing w:line="24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零售业(52)</w:t>
            </w:r>
          </w:p>
        </w:tc>
        <w:tc>
          <w:tcPr>
            <w:tcW w:w="1461" w:type="dxa"/>
            <w:tcBorders>
              <w:tl2br w:val="nil"/>
              <w:tr2bl w:val="nil"/>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销售人员(4-1-02)</w:t>
            </w:r>
          </w:p>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商务咨询服务人员(4-07-02)</w:t>
            </w:r>
          </w:p>
        </w:tc>
        <w:tc>
          <w:tcPr>
            <w:tcW w:w="1295" w:type="dxa"/>
            <w:tcBorders>
              <w:tl2br w:val="nil"/>
              <w:tr2bl w:val="nil"/>
            </w:tcBorders>
            <w:vAlign w:val="center"/>
          </w:tcPr>
          <w:p>
            <w:pPr>
              <w:widowControl/>
              <w:adjustRightInd w:val="0"/>
              <w:snapToGrid w:val="0"/>
              <w:spacing w:line="240" w:lineRule="auto"/>
              <w:ind w:firstLine="0" w:firstLineChars="0"/>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zh-CN"/>
              </w:rPr>
              <w:t>电商运营、</w:t>
            </w:r>
            <w:r>
              <w:rPr>
                <w:rFonts w:hint="eastAsia" w:ascii="宋体" w:hAnsi="宋体" w:cs="宋体"/>
                <w:color w:val="auto"/>
                <w:sz w:val="21"/>
                <w:szCs w:val="21"/>
                <w:highlight w:val="none"/>
              </w:rPr>
              <w:t>美工设计</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电商运营数据分析</w:t>
            </w:r>
          </w:p>
        </w:tc>
        <w:tc>
          <w:tcPr>
            <w:tcW w:w="1928" w:type="dxa"/>
            <w:tcBorders>
              <w:tl2br w:val="nil"/>
              <w:tr2bl w:val="nil"/>
            </w:tcBorders>
            <w:vAlign w:val="center"/>
          </w:tcPr>
          <w:p>
            <w:pPr>
              <w:spacing w:line="240" w:lineRule="auto"/>
              <w:ind w:firstLine="0" w:firstLineChars="0"/>
              <w:jc w:val="center"/>
              <w:rPr>
                <w:rFonts w:ascii="宋体" w:hAnsi="宋体" w:cs="宋体"/>
                <w:color w:val="auto"/>
                <w:sz w:val="21"/>
                <w:szCs w:val="21"/>
                <w:highlight w:val="none"/>
                <w:lang w:val="zh-CN"/>
              </w:rPr>
            </w:pPr>
            <w:r>
              <w:rPr>
                <w:rFonts w:hint="eastAsia" w:ascii="宋体" w:hAnsi="宋体" w:cs="宋体"/>
                <w:color w:val="auto"/>
                <w:sz w:val="21"/>
                <w:szCs w:val="21"/>
                <w:highlight w:val="none"/>
              </w:rPr>
              <w:t>电子商务师（初</w:t>
            </w:r>
          </w:p>
          <w:p>
            <w:pPr>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级、中级）</w:t>
            </w:r>
          </w:p>
          <w:p>
            <w:pPr>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中国电子商务协会CECA</w:t>
            </w:r>
          </w:p>
          <w:p>
            <w:pPr>
              <w:spacing w:line="240" w:lineRule="auto"/>
              <w:ind w:firstLine="0" w:firstLineChars="0"/>
              <w:rPr>
                <w:rFonts w:ascii="宋体" w:hAnsi="宋体" w:cs="宋体"/>
                <w:color w:val="auto"/>
                <w:sz w:val="21"/>
                <w:szCs w:val="21"/>
                <w:highlight w:val="none"/>
                <w:lang w:val="zh-CN"/>
              </w:rPr>
            </w:pPr>
            <w:r>
              <w:rPr>
                <w:rFonts w:hint="eastAsia" w:ascii="宋体" w:hAnsi="宋体" w:cs="宋体"/>
                <w:color w:val="auto"/>
                <w:sz w:val="21"/>
                <w:szCs w:val="21"/>
                <w:highlight w:val="none"/>
              </w:rPr>
              <w:t>电子商务人才能力考</w:t>
            </w:r>
          </w:p>
          <w:p>
            <w:pPr>
              <w:spacing w:line="240" w:lineRule="auto"/>
              <w:ind w:firstLine="0" w:firstLineChars="0"/>
              <w:jc w:val="center"/>
              <w:rPr>
                <w:rFonts w:ascii="宋体" w:hAnsi="宋体" w:cs="宋体"/>
                <w:color w:val="auto"/>
                <w:sz w:val="21"/>
                <w:szCs w:val="21"/>
                <w:highlight w:val="none"/>
                <w:lang w:val="zh-CN"/>
              </w:rPr>
            </w:pPr>
            <w:r>
              <w:rPr>
                <w:rFonts w:hint="eastAsia" w:ascii="宋体" w:hAnsi="宋体" w:cs="宋体"/>
                <w:color w:val="auto"/>
                <w:sz w:val="21"/>
                <w:szCs w:val="21"/>
                <w:highlight w:val="none"/>
              </w:rPr>
              <w:t>试——美工设计（初</w:t>
            </w:r>
          </w:p>
          <w:p>
            <w:pPr>
              <w:spacing w:line="240" w:lineRule="auto"/>
              <w:ind w:firstLine="0" w:firstLineChars="0"/>
              <w:jc w:val="center"/>
              <w:rPr>
                <w:rFonts w:ascii="宋体" w:hAnsi="宋体" w:cs="宋体"/>
                <w:color w:val="auto"/>
                <w:sz w:val="21"/>
                <w:szCs w:val="21"/>
                <w:highlight w:val="none"/>
                <w:lang w:val="zh-CN"/>
              </w:rPr>
            </w:pPr>
            <w:r>
              <w:rPr>
                <w:rFonts w:hint="eastAsia" w:ascii="宋体" w:hAnsi="宋体" w:cs="宋体"/>
                <w:color w:val="auto"/>
                <w:sz w:val="21"/>
                <w:szCs w:val="21"/>
                <w:highlight w:val="none"/>
              </w:rPr>
              <w:t>级、中级）</w:t>
            </w:r>
          </w:p>
        </w:tc>
      </w:tr>
    </w:tbl>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五、培养目标与培养规格</w:t>
      </w:r>
    </w:p>
    <w:p>
      <w:pPr>
        <w:keepNext/>
        <w:keepLines/>
        <w:spacing w:before="120" w:beforeLines="50" w:after="120" w:afterLines="50"/>
        <w:ind w:firstLine="560"/>
        <w:rPr>
          <w:rFonts w:ascii="Arial" w:hAnsi="Arial" w:eastAsia="黑体"/>
          <w:bCs/>
          <w:color w:val="auto"/>
          <w:sz w:val="28"/>
          <w:szCs w:val="32"/>
          <w:highlight w:val="none"/>
        </w:rPr>
      </w:pPr>
      <w:r>
        <w:rPr>
          <w:rFonts w:hint="eastAsia" w:ascii="黑体" w:hAnsi="Arial" w:eastAsia="黑体"/>
          <w:bCs/>
          <w:color w:val="auto"/>
          <w:sz w:val="28"/>
          <w:szCs w:val="32"/>
          <w:highlight w:val="none"/>
        </w:rPr>
        <w:t>（一）培养目标</w:t>
      </w:r>
    </w:p>
    <w:p>
      <w:pPr>
        <w:ind w:firstLine="480"/>
        <w:rPr>
          <w:rFonts w:ascii="Calibri" w:hAnsi="Calibri"/>
          <w:color w:val="auto"/>
          <w:highlight w:val="none"/>
          <w:lang w:val="zh-CN"/>
        </w:rPr>
      </w:pPr>
      <w:r>
        <w:rPr>
          <w:rFonts w:hint="eastAsia" w:ascii="Calibri" w:hAnsi="Calibri"/>
          <w:color w:val="auto"/>
          <w:highlight w:val="none"/>
        </w:rPr>
        <w:t>本专业培养德智体美劳全面发展，具有良好的职业道和人文素养，创新意识和工匠精神，掌握电子商务CRM制定与实施方法、数据处理与数据分析、内容销售、新媒体营销、制图软件使用等基本知识，具备电商平台运营、数字化营销、网络优化、品牌运营、用户分析等能力，</w:t>
      </w:r>
      <w:r>
        <w:rPr>
          <w:rFonts w:hint="eastAsia" w:asciiTheme="minorHAnsi" w:hAnsiTheme="minorHAnsi" w:cstheme="minorBidi"/>
          <w:color w:val="auto"/>
          <w:highlight w:val="none"/>
          <w:lang w:val="zh-CN"/>
        </w:rPr>
        <w:t>面向京津冀地区</w:t>
      </w:r>
      <w:r>
        <w:rPr>
          <w:rFonts w:ascii="Calibri" w:hAnsi="Calibri"/>
          <w:color w:val="auto"/>
          <w:highlight w:val="none"/>
        </w:rPr>
        <w:t>互联网</w:t>
      </w:r>
      <w:r>
        <w:rPr>
          <w:rFonts w:hint="eastAsia" w:ascii="Calibri" w:hAnsi="Calibri"/>
          <w:color w:val="auto"/>
          <w:highlight w:val="none"/>
        </w:rPr>
        <w:t>行业的</w:t>
      </w:r>
      <w:r>
        <w:rPr>
          <w:rFonts w:hint="eastAsia" w:asciiTheme="minorHAnsi" w:hAnsiTheme="minorHAnsi" w:cstheme="minorBidi"/>
          <w:color w:val="auto"/>
          <w:highlight w:val="none"/>
          <w:lang w:val="zh-CN"/>
        </w:rPr>
        <w:t>电子商务服务职业群</w:t>
      </w:r>
      <w:r>
        <w:rPr>
          <w:rFonts w:ascii="Calibri" w:hAnsi="Calibri"/>
          <w:color w:val="auto"/>
          <w:highlight w:val="none"/>
        </w:rPr>
        <w:t>，</w:t>
      </w:r>
      <w:r>
        <w:rPr>
          <w:rFonts w:hint="eastAsia" w:ascii="Calibri" w:hAnsi="Calibri"/>
          <w:color w:val="auto"/>
          <w:highlight w:val="none"/>
        </w:rPr>
        <w:t>从事电商运营、新媒体运营、网络销售、网店美工等工作，能适应产业升级和技术创新需要的高素质技术技能人才。</w:t>
      </w:r>
    </w:p>
    <w:p>
      <w:pPr>
        <w:keepNext/>
        <w:keepLines/>
        <w:spacing w:before="120" w:beforeLines="50" w:after="120" w:afterLines="50"/>
        <w:ind w:firstLine="560"/>
        <w:rPr>
          <w:rFonts w:ascii="Arial" w:hAnsi="Arial" w:eastAsia="黑体"/>
          <w:b/>
          <w:bCs/>
          <w:color w:val="auto"/>
          <w:sz w:val="28"/>
          <w:szCs w:val="32"/>
          <w:highlight w:val="none"/>
        </w:rPr>
      </w:pPr>
      <w:r>
        <w:rPr>
          <w:rFonts w:hint="eastAsia" w:ascii="黑体" w:hAnsi="Arial" w:eastAsia="黑体"/>
          <w:bCs/>
          <w:color w:val="auto"/>
          <w:sz w:val="28"/>
          <w:szCs w:val="32"/>
          <w:highlight w:val="none"/>
        </w:rPr>
        <w:t>（二）培养规格</w:t>
      </w:r>
    </w:p>
    <w:p>
      <w:pPr>
        <w:spacing w:before="120" w:beforeLines="50" w:after="120" w:afterLines="50" w:line="240" w:lineRule="auto"/>
        <w:ind w:firstLine="480"/>
        <w:jc w:val="left"/>
        <w:rPr>
          <w:rFonts w:ascii="黑体" w:eastAsia="黑体"/>
          <w:b/>
          <w:bCs/>
          <w:color w:val="auto"/>
          <w:highlight w:val="none"/>
        </w:rPr>
      </w:pPr>
      <w:r>
        <w:rPr>
          <w:rFonts w:hint="eastAsia"/>
          <w:bCs/>
          <w:color w:val="auto"/>
          <w:highlight w:val="none"/>
        </w:rPr>
        <w:t>本专业毕业生应在素质、知识、能力等方面达到以下要求：</w:t>
      </w:r>
    </w:p>
    <w:tbl>
      <w:tblPr>
        <w:tblStyle w:val="4"/>
        <w:tblW w:w="5000" w:type="pct"/>
        <w:jc w:val="center"/>
        <w:tblLayout w:type="fixed"/>
        <w:tblCellMar>
          <w:top w:w="0" w:type="dxa"/>
          <w:left w:w="108" w:type="dxa"/>
          <w:bottom w:w="0" w:type="dxa"/>
          <w:right w:w="108" w:type="dxa"/>
        </w:tblCellMar>
      </w:tblPr>
      <w:tblGrid>
        <w:gridCol w:w="1118"/>
        <w:gridCol w:w="1504"/>
        <w:gridCol w:w="3443"/>
        <w:gridCol w:w="2457"/>
      </w:tblGrid>
      <w:tr>
        <w:tblPrEx>
          <w:tblCellMar>
            <w:top w:w="0" w:type="dxa"/>
            <w:left w:w="108" w:type="dxa"/>
            <w:bottom w:w="0" w:type="dxa"/>
            <w:right w:w="108" w:type="dxa"/>
          </w:tblCellMar>
        </w:tblPrEx>
        <w:trPr>
          <w:trHeight w:val="57" w:hRule="atLeast"/>
          <w:tblHeader/>
          <w:jc w:val="center"/>
        </w:trPr>
        <w:tc>
          <w:tcPr>
            <w:tcW w:w="11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规格</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具体要求</w:t>
            </w:r>
          </w:p>
        </w:tc>
        <w:tc>
          <w:tcPr>
            <w:tcW w:w="35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内容</w:t>
            </w:r>
          </w:p>
        </w:tc>
        <w:tc>
          <w:tcPr>
            <w:tcW w:w="254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对应课程</w:t>
            </w:r>
          </w:p>
        </w:tc>
      </w:tr>
      <w:tr>
        <w:tblPrEx>
          <w:tblCellMar>
            <w:top w:w="0" w:type="dxa"/>
            <w:left w:w="108" w:type="dxa"/>
            <w:bottom w:w="0" w:type="dxa"/>
            <w:right w:w="108" w:type="dxa"/>
          </w:tblCellMar>
        </w:tblPrEx>
        <w:trPr>
          <w:trHeight w:val="57" w:hRule="atLeast"/>
          <w:jc w:val="center"/>
        </w:trPr>
        <w:tc>
          <w:tcPr>
            <w:tcW w:w="1159"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素质结构</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思想政治素质</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热爱社会主义祖国，拥护中国共产党领导，具有社会主义国家公民觉悟和道德品质</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毛泽东思想和中国特色社会主义理论体系概论(习近平新时代中国特色社会主义思想。</w:t>
            </w:r>
          </w:p>
        </w:tc>
      </w:tr>
      <w:tr>
        <w:tblPrEx>
          <w:tblCellMar>
            <w:top w:w="0" w:type="dxa"/>
            <w:left w:w="108" w:type="dxa"/>
            <w:bottom w:w="0" w:type="dxa"/>
            <w:right w:w="108" w:type="dxa"/>
          </w:tblCellMar>
        </w:tblPrEx>
        <w:trPr>
          <w:trHeight w:val="57" w:hRule="atLeast"/>
          <w:jc w:val="center"/>
        </w:trPr>
        <w:tc>
          <w:tcPr>
            <w:tcW w:w="1159"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文化素质</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具有良好的文化基础和修养；善于自学，不断获取新知识；具有社会交往、处理公共关系的基本能力。</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思想道德与法治</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实用</w:t>
            </w:r>
            <w:r>
              <w:rPr>
                <w:rFonts w:hint="eastAsia" w:ascii="宋体" w:hAnsi="宋体" w:cs="宋体"/>
                <w:color w:val="auto"/>
                <w:kern w:val="0"/>
                <w:sz w:val="21"/>
                <w:szCs w:val="21"/>
                <w:highlight w:val="none"/>
              </w:rPr>
              <w:t>英语</w:t>
            </w:r>
            <w:r>
              <w:rPr>
                <w:rFonts w:ascii="宋体" w:hAnsi="宋体" w:cs="宋体"/>
                <w:color w:val="auto"/>
                <w:kern w:val="0"/>
                <w:sz w:val="21"/>
                <w:szCs w:val="21"/>
                <w:highlight w:val="none"/>
              </w:rPr>
              <w:t>，人际</w:t>
            </w:r>
            <w:r>
              <w:rPr>
                <w:rFonts w:hint="eastAsia" w:ascii="宋体" w:hAnsi="宋体" w:cs="宋体"/>
                <w:color w:val="auto"/>
                <w:kern w:val="0"/>
                <w:sz w:val="21"/>
                <w:szCs w:val="21"/>
                <w:highlight w:val="none"/>
              </w:rPr>
              <w:t>沟通</w:t>
            </w:r>
            <w:r>
              <w:rPr>
                <w:rFonts w:ascii="宋体" w:hAnsi="宋体" w:cs="宋体"/>
                <w:color w:val="auto"/>
                <w:kern w:val="0"/>
                <w:sz w:val="21"/>
                <w:szCs w:val="21"/>
                <w:highlight w:val="none"/>
              </w:rPr>
              <w:t>与礼仪</w:t>
            </w:r>
            <w:r>
              <w:rPr>
                <w:rFonts w:hint="eastAsia" w:ascii="宋体" w:hAnsi="宋体" w:cs="宋体"/>
                <w:color w:val="auto"/>
                <w:kern w:val="0"/>
                <w:sz w:val="21"/>
                <w:szCs w:val="21"/>
                <w:highlight w:val="none"/>
              </w:rPr>
              <w:t>、读书与鉴赏，大学语文</w:t>
            </w:r>
          </w:p>
        </w:tc>
      </w:tr>
      <w:tr>
        <w:tblPrEx>
          <w:tblCellMar>
            <w:top w:w="0" w:type="dxa"/>
            <w:left w:w="108" w:type="dxa"/>
            <w:bottom w:w="0" w:type="dxa"/>
            <w:right w:w="108" w:type="dxa"/>
          </w:tblCellMar>
        </w:tblPrEx>
        <w:trPr>
          <w:trHeight w:val="57" w:hRule="atLeast"/>
          <w:jc w:val="center"/>
        </w:trPr>
        <w:tc>
          <w:tcPr>
            <w:tcW w:w="1159"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职业素质</w:t>
            </w:r>
          </w:p>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工匠精神</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熟悉涉及电子商务法律法规，具有良好的职业道德和职业操守、能运用所学知识和实践技能创造价值。适应不断变化的行业，具备创新精神和全局思维，忠于职守，坚持努力，保持学习能力和变通能力，运用逻辑思维和数字化分析工具处理问题</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专业导论、</w:t>
            </w:r>
            <w:r>
              <w:rPr>
                <w:rFonts w:ascii="宋体" w:hAnsi="宋体" w:cs="宋体"/>
                <w:color w:val="auto"/>
                <w:kern w:val="0"/>
                <w:sz w:val="21"/>
                <w:szCs w:val="21"/>
                <w:highlight w:val="none"/>
              </w:rPr>
              <w:t>电</w:t>
            </w:r>
            <w:r>
              <w:rPr>
                <w:rFonts w:hint="eastAsia" w:ascii="宋体" w:hAnsi="宋体" w:cs="宋体"/>
                <w:color w:val="auto"/>
                <w:kern w:val="0"/>
                <w:sz w:val="21"/>
                <w:szCs w:val="21"/>
                <w:highlight w:val="none"/>
              </w:rPr>
              <w:t>子</w:t>
            </w:r>
            <w:r>
              <w:rPr>
                <w:rFonts w:ascii="宋体" w:hAnsi="宋体" w:cs="宋体"/>
                <w:color w:val="auto"/>
                <w:kern w:val="0"/>
                <w:sz w:val="21"/>
                <w:szCs w:val="21"/>
                <w:highlight w:val="none"/>
              </w:rPr>
              <w:t>商</w:t>
            </w:r>
            <w:r>
              <w:rPr>
                <w:rFonts w:hint="eastAsia" w:ascii="宋体" w:hAnsi="宋体" w:cs="宋体"/>
                <w:color w:val="auto"/>
                <w:kern w:val="0"/>
                <w:sz w:val="21"/>
                <w:szCs w:val="21"/>
                <w:highlight w:val="none"/>
              </w:rPr>
              <w:t>务</w:t>
            </w:r>
            <w:r>
              <w:rPr>
                <w:rFonts w:ascii="宋体" w:hAnsi="宋体" w:cs="宋体"/>
                <w:color w:val="auto"/>
                <w:kern w:val="0"/>
                <w:sz w:val="21"/>
                <w:szCs w:val="21"/>
                <w:highlight w:val="none"/>
              </w:rPr>
              <w:t>实训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电商实战</w:t>
            </w:r>
            <w:r>
              <w:rPr>
                <w:rFonts w:hint="eastAsia" w:ascii="宋体" w:hAnsi="宋体" w:cs="宋体"/>
                <w:color w:val="auto"/>
                <w:kern w:val="0"/>
                <w:sz w:val="21"/>
                <w:szCs w:val="21"/>
                <w:highlight w:val="none"/>
              </w:rPr>
              <w:t>、客户关系管理、商务办公软件高级应用、执行力与精细化管理、互联网生存技能、电商企业职业技能培训、</w:t>
            </w:r>
            <w:r>
              <w:rPr>
                <w:rFonts w:hint="eastAsia" w:ascii="宋体" w:hAnsi="宋体" w:cs="宋体"/>
                <w:color w:val="auto"/>
                <w:kern w:val="0"/>
                <w:sz w:val="21"/>
                <w:szCs w:val="21"/>
                <w:highlight w:val="none"/>
                <w:lang w:eastAsia="zh-CN"/>
              </w:rPr>
              <w:t>思想道德与法治</w:t>
            </w:r>
          </w:p>
        </w:tc>
      </w:tr>
      <w:tr>
        <w:tblPrEx>
          <w:tblCellMar>
            <w:top w:w="0" w:type="dxa"/>
            <w:left w:w="108" w:type="dxa"/>
            <w:bottom w:w="0" w:type="dxa"/>
            <w:right w:w="108" w:type="dxa"/>
          </w:tblCellMar>
        </w:tblPrEx>
        <w:trPr>
          <w:trHeight w:val="57" w:hRule="atLeast"/>
          <w:jc w:val="center"/>
        </w:trPr>
        <w:tc>
          <w:tcPr>
            <w:tcW w:w="1159"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身心素质</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拥有将康的体魄，养成良好的体育锻炼、讲究卫生的生活习惯，具有良好的政治素养、社会公德、行为习惯，会做人、会做事、会与人合作</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体育、</w:t>
            </w:r>
            <w:r>
              <w:rPr>
                <w:rFonts w:hint="eastAsia" w:ascii="宋体" w:hAnsi="宋体" w:cs="宋体"/>
                <w:color w:val="auto"/>
                <w:kern w:val="0"/>
                <w:sz w:val="21"/>
                <w:szCs w:val="21"/>
                <w:highlight w:val="none"/>
                <w:lang w:eastAsia="zh-CN"/>
              </w:rPr>
              <w:t>思想道德与法治</w:t>
            </w:r>
            <w:r>
              <w:rPr>
                <w:rFonts w:hint="eastAsia" w:ascii="宋体" w:hAnsi="宋体" w:cs="宋体"/>
                <w:color w:val="auto"/>
                <w:kern w:val="0"/>
                <w:sz w:val="21"/>
                <w:szCs w:val="21"/>
                <w:highlight w:val="none"/>
              </w:rPr>
              <w:t>、军事技术、军事理论、大学生心理健康</w:t>
            </w:r>
          </w:p>
        </w:tc>
      </w:tr>
      <w:tr>
        <w:tblPrEx>
          <w:tblCellMar>
            <w:top w:w="0" w:type="dxa"/>
            <w:left w:w="108" w:type="dxa"/>
            <w:bottom w:w="0" w:type="dxa"/>
            <w:right w:w="108" w:type="dxa"/>
          </w:tblCellMar>
        </w:tblPrEx>
        <w:trPr>
          <w:trHeight w:val="57" w:hRule="atLeast"/>
          <w:jc w:val="center"/>
        </w:trPr>
        <w:tc>
          <w:tcPr>
            <w:tcW w:w="115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知识结构</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人文社会知识</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思想政治、法律基础、人文素质与公共文化基础知识</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毛泽东思想和中国特色社会主义理论体系概论、人际沟通与礼仪</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中华优秀传统文化</w:t>
            </w:r>
          </w:p>
          <w:p>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eastAsia="zh-CN"/>
              </w:rPr>
            </w:pPr>
          </w:p>
        </w:tc>
      </w:tr>
      <w:tr>
        <w:tblPrEx>
          <w:tblCellMar>
            <w:top w:w="0" w:type="dxa"/>
            <w:left w:w="108" w:type="dxa"/>
            <w:bottom w:w="0" w:type="dxa"/>
            <w:right w:w="108" w:type="dxa"/>
          </w:tblCellMar>
        </w:tblPrEx>
        <w:trPr>
          <w:trHeight w:val="57" w:hRule="atLeast"/>
          <w:jc w:val="center"/>
        </w:trPr>
        <w:tc>
          <w:tcPr>
            <w:tcW w:w="115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工具性知识</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英语交流、计算机office软件应用、PS、PR、AE的功能及应用</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实用</w:t>
            </w:r>
            <w:r>
              <w:rPr>
                <w:rFonts w:ascii="宋体" w:hAnsi="宋体" w:cs="宋体"/>
                <w:color w:val="auto"/>
                <w:kern w:val="0"/>
                <w:sz w:val="21"/>
                <w:szCs w:val="21"/>
                <w:highlight w:val="none"/>
              </w:rPr>
              <w:t>英语</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信息技术基础</w:t>
            </w:r>
            <w:r>
              <w:rPr>
                <w:rFonts w:hint="eastAsia" w:ascii="宋体" w:hAnsi="宋体" w:cs="宋体"/>
                <w:color w:val="auto"/>
                <w:kern w:val="0"/>
                <w:sz w:val="21"/>
                <w:szCs w:val="21"/>
                <w:highlight w:val="none"/>
              </w:rPr>
              <w:t>、商务办公软件高级应用、视频编辑与制作、PS图像处理</w:t>
            </w:r>
          </w:p>
        </w:tc>
      </w:tr>
      <w:tr>
        <w:tblPrEx>
          <w:tblCellMar>
            <w:top w:w="0" w:type="dxa"/>
            <w:left w:w="108" w:type="dxa"/>
            <w:bottom w:w="0" w:type="dxa"/>
            <w:right w:w="108" w:type="dxa"/>
          </w:tblCellMar>
        </w:tblPrEx>
        <w:trPr>
          <w:trHeight w:val="57" w:hRule="atLeast"/>
          <w:jc w:val="center"/>
        </w:trPr>
        <w:tc>
          <w:tcPr>
            <w:tcW w:w="115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专业知识</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电商运营人员需要具备的后台知识及操作，在工作中有涉及直通专员、钻展专员，美工、客服方向的专业性知识。</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电商运营基础</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数据化运营</w:t>
            </w:r>
            <w:r>
              <w:rPr>
                <w:rFonts w:hint="eastAsia" w:ascii="宋体" w:hAnsi="宋体" w:cs="宋体"/>
                <w:color w:val="auto"/>
                <w:kern w:val="0"/>
                <w:sz w:val="21"/>
                <w:szCs w:val="21"/>
                <w:highlight w:val="none"/>
              </w:rPr>
              <w:t>、客户关系管理、移动电子商务、网络文案编辑、电商视觉营销、网页美工设计、新媒体营销</w:t>
            </w:r>
          </w:p>
        </w:tc>
      </w:tr>
      <w:tr>
        <w:tblPrEx>
          <w:tblCellMar>
            <w:top w:w="0" w:type="dxa"/>
            <w:left w:w="108" w:type="dxa"/>
            <w:bottom w:w="0" w:type="dxa"/>
            <w:right w:w="108" w:type="dxa"/>
          </w:tblCellMar>
        </w:tblPrEx>
        <w:trPr>
          <w:trHeight w:val="57" w:hRule="atLeast"/>
          <w:jc w:val="center"/>
        </w:trPr>
        <w:tc>
          <w:tcPr>
            <w:tcW w:w="1159"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能力结构</w:t>
            </w:r>
          </w:p>
        </w:tc>
        <w:tc>
          <w:tcPr>
            <w:tcW w:w="155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专业技术技能</w:t>
            </w:r>
          </w:p>
          <w:p>
            <w:pPr>
              <w:widowControl/>
              <w:adjustRightInd w:val="0"/>
              <w:snapToGrid w:val="0"/>
              <w:spacing w:line="240" w:lineRule="auto"/>
              <w:ind w:firstLine="0" w:firstLineChars="0"/>
              <w:jc w:val="center"/>
              <w:rPr>
                <w:rFonts w:ascii="宋体" w:hAnsi="宋体" w:cs="宋体"/>
                <w:color w:val="auto"/>
                <w:kern w:val="0"/>
                <w:sz w:val="21"/>
                <w:szCs w:val="21"/>
                <w:highlight w:val="none"/>
              </w:rPr>
            </w:pPr>
          </w:p>
        </w:tc>
        <w:tc>
          <w:tcPr>
            <w:tcW w:w="357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具有电商</w:t>
            </w:r>
            <w:r>
              <w:rPr>
                <w:rFonts w:ascii="宋体" w:hAnsi="宋体" w:cs="宋体"/>
                <w:color w:val="auto"/>
                <w:kern w:val="0"/>
                <w:sz w:val="21"/>
                <w:szCs w:val="21"/>
                <w:highlight w:val="none"/>
              </w:rPr>
              <w:t>用户群研究，电商平台开发</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店铺运营，平台和店铺的营销推广，店铺团队的组建管理能力。具有敏锐的洞察力和观察力，能利用所学知识对商品</w:t>
            </w:r>
            <w:r>
              <w:rPr>
                <w:rFonts w:hint="eastAsia" w:ascii="宋体" w:hAnsi="宋体" w:cs="宋体"/>
                <w:color w:val="auto"/>
                <w:kern w:val="0"/>
                <w:sz w:val="21"/>
                <w:szCs w:val="21"/>
                <w:highlight w:val="none"/>
              </w:rPr>
              <w:t>图片处理及美化、</w:t>
            </w:r>
            <w:r>
              <w:rPr>
                <w:rFonts w:ascii="宋体" w:hAnsi="宋体" w:cs="宋体"/>
                <w:color w:val="auto"/>
                <w:kern w:val="0"/>
                <w:sz w:val="21"/>
                <w:szCs w:val="21"/>
                <w:highlight w:val="none"/>
              </w:rPr>
              <w:t>对店铺后台进行设置及管理</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具备</w:t>
            </w:r>
            <w:r>
              <w:rPr>
                <w:rFonts w:hint="eastAsia" w:ascii="宋体" w:hAnsi="宋体" w:cs="宋体"/>
                <w:color w:val="auto"/>
                <w:kern w:val="0"/>
                <w:sz w:val="21"/>
                <w:szCs w:val="21"/>
                <w:highlight w:val="none"/>
              </w:rPr>
              <w:t>新媒体营销的能力、</w:t>
            </w:r>
            <w:r>
              <w:rPr>
                <w:rFonts w:ascii="宋体" w:hAnsi="宋体" w:cs="宋体"/>
                <w:color w:val="auto"/>
                <w:kern w:val="0"/>
                <w:sz w:val="21"/>
                <w:szCs w:val="21"/>
                <w:highlight w:val="none"/>
              </w:rPr>
              <w:t>能自主策划</w:t>
            </w:r>
            <w:r>
              <w:rPr>
                <w:rFonts w:hint="eastAsia" w:ascii="宋体" w:hAnsi="宋体" w:cs="宋体"/>
                <w:color w:val="auto"/>
                <w:kern w:val="0"/>
                <w:sz w:val="21"/>
                <w:szCs w:val="21"/>
                <w:highlight w:val="none"/>
              </w:rPr>
              <w:t>开展网络</w:t>
            </w:r>
            <w:r>
              <w:rPr>
                <w:rFonts w:ascii="宋体" w:hAnsi="宋体" w:cs="宋体"/>
                <w:color w:val="auto"/>
                <w:kern w:val="0"/>
                <w:sz w:val="21"/>
                <w:szCs w:val="21"/>
                <w:highlight w:val="none"/>
              </w:rPr>
              <w:t>营销方案。能自主制作</w:t>
            </w:r>
            <w:r>
              <w:rPr>
                <w:rFonts w:hint="eastAsia" w:ascii="宋体" w:hAnsi="宋体" w:cs="宋体"/>
                <w:color w:val="auto"/>
                <w:kern w:val="0"/>
                <w:sz w:val="21"/>
                <w:szCs w:val="21"/>
                <w:highlight w:val="none"/>
              </w:rPr>
              <w:t>编辑</w:t>
            </w:r>
            <w:r>
              <w:rPr>
                <w:rFonts w:ascii="宋体" w:hAnsi="宋体" w:cs="宋体"/>
                <w:color w:val="auto"/>
                <w:kern w:val="0"/>
                <w:sz w:val="21"/>
                <w:szCs w:val="21"/>
                <w:highlight w:val="none"/>
              </w:rPr>
              <w:t>详情</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内容</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广告文案</w:t>
            </w:r>
            <w:r>
              <w:rPr>
                <w:rFonts w:hint="eastAsia" w:ascii="宋体" w:hAnsi="宋体" w:cs="宋体"/>
                <w:color w:val="auto"/>
                <w:kern w:val="0"/>
                <w:sz w:val="21"/>
                <w:szCs w:val="21"/>
                <w:highlight w:val="none"/>
              </w:rPr>
              <w:t>的能力</w:t>
            </w:r>
            <w:r>
              <w:rPr>
                <w:rFonts w:ascii="宋体" w:hAnsi="宋体" w:cs="宋体"/>
                <w:color w:val="auto"/>
                <w:kern w:val="0"/>
                <w:sz w:val="21"/>
                <w:szCs w:val="21"/>
                <w:highlight w:val="none"/>
              </w:rPr>
              <w:t>。具备</w:t>
            </w:r>
            <w:r>
              <w:rPr>
                <w:rFonts w:hint="eastAsia" w:ascii="宋体" w:hAnsi="宋体" w:cs="宋体"/>
                <w:color w:val="auto"/>
                <w:kern w:val="0"/>
                <w:sz w:val="21"/>
                <w:szCs w:val="21"/>
                <w:highlight w:val="none"/>
              </w:rPr>
              <w:t>自主创业</w:t>
            </w:r>
            <w:r>
              <w:rPr>
                <w:rFonts w:ascii="宋体" w:hAnsi="宋体" w:cs="宋体"/>
                <w:color w:val="auto"/>
                <w:kern w:val="0"/>
                <w:sz w:val="21"/>
                <w:szCs w:val="21"/>
                <w:highlight w:val="none"/>
              </w:rPr>
              <w:t>开设及运营线上店铺的能力。</w:t>
            </w:r>
          </w:p>
        </w:tc>
        <w:tc>
          <w:tcPr>
            <w:tcW w:w="254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网络编程、</w:t>
            </w:r>
            <w:r>
              <w:rPr>
                <w:rFonts w:hint="eastAsia" w:ascii="宋体" w:hAnsi="宋体" w:cs="宋体"/>
                <w:color w:val="auto"/>
                <w:kern w:val="0"/>
                <w:sz w:val="21"/>
                <w:szCs w:val="21"/>
                <w:highlight w:val="none"/>
                <w:lang w:eastAsia="zh-CN"/>
              </w:rPr>
              <w:t>数据化运营</w:t>
            </w:r>
            <w:r>
              <w:rPr>
                <w:rFonts w:hint="eastAsia" w:ascii="宋体" w:hAnsi="宋体" w:cs="宋体"/>
                <w:color w:val="auto"/>
                <w:kern w:val="0"/>
                <w:sz w:val="21"/>
                <w:szCs w:val="21"/>
                <w:highlight w:val="none"/>
              </w:rPr>
              <w:t>、新媒体营销、网页美工设计、电商美工综合应用、视频编辑制作与营销、网络文案编辑、电商视觉营销、电商运营实训</w:t>
            </w:r>
          </w:p>
        </w:tc>
      </w:tr>
      <w:tr>
        <w:tblPrEx>
          <w:tblCellMar>
            <w:top w:w="0" w:type="dxa"/>
            <w:left w:w="108" w:type="dxa"/>
            <w:bottom w:w="0" w:type="dxa"/>
            <w:right w:w="108" w:type="dxa"/>
          </w:tblCellMar>
        </w:tblPrEx>
        <w:trPr>
          <w:trHeight w:val="57" w:hRule="atLeast"/>
          <w:jc w:val="center"/>
        </w:trPr>
        <w:tc>
          <w:tcPr>
            <w:tcW w:w="1159" w:type="dxa"/>
            <w:vMerge w:val="continue"/>
            <w:tcBorders>
              <w:left w:val="single" w:color="auto" w:sz="4" w:space="0"/>
              <w:right w:val="single" w:color="auto" w:sz="4" w:space="0"/>
            </w:tcBorders>
            <w:vAlign w:val="center"/>
          </w:tcPr>
          <w:p>
            <w:pPr>
              <w:spacing w:line="240" w:lineRule="auto"/>
              <w:ind w:firstLine="42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终身学习能力</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培养学生终身学习的能力</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电商运营实战、读书与鉴赏</w:t>
            </w:r>
          </w:p>
        </w:tc>
      </w:tr>
      <w:tr>
        <w:tblPrEx>
          <w:tblCellMar>
            <w:top w:w="0" w:type="dxa"/>
            <w:left w:w="108" w:type="dxa"/>
            <w:bottom w:w="0" w:type="dxa"/>
            <w:right w:w="108" w:type="dxa"/>
          </w:tblCellMar>
        </w:tblPrEx>
        <w:trPr>
          <w:trHeight w:val="57" w:hRule="atLeast"/>
          <w:jc w:val="center"/>
        </w:trPr>
        <w:tc>
          <w:tcPr>
            <w:tcW w:w="1159" w:type="dxa"/>
            <w:vMerge w:val="continue"/>
            <w:tcBorders>
              <w:left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创新创业能力</w:t>
            </w:r>
          </w:p>
        </w:tc>
        <w:tc>
          <w:tcPr>
            <w:tcW w:w="357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培养学生获取、运用、创造知识的意识和能力，激发学生的创造积极性</w:t>
            </w:r>
          </w:p>
        </w:tc>
        <w:tc>
          <w:tcPr>
            <w:tcW w:w="254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创新创业基础、大学生创业指导、“互联网+”时代的颠覆与创新、互联网生存技能、电商企业职业技能培训</w:t>
            </w:r>
          </w:p>
        </w:tc>
      </w:tr>
      <w:tr>
        <w:tblPrEx>
          <w:tblCellMar>
            <w:top w:w="0" w:type="dxa"/>
            <w:left w:w="108" w:type="dxa"/>
            <w:bottom w:w="0" w:type="dxa"/>
            <w:right w:w="108" w:type="dxa"/>
          </w:tblCellMar>
        </w:tblPrEx>
        <w:trPr>
          <w:trHeight w:val="57" w:hRule="atLeast"/>
          <w:jc w:val="center"/>
        </w:trPr>
        <w:tc>
          <w:tcPr>
            <w:tcW w:w="1159" w:type="dxa"/>
            <w:vMerge w:val="continue"/>
            <w:tcBorders>
              <w:left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分析解决问题能力</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具有发现、提出、分析、解决问题能力</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商务数据分析与应用、电商商务实战</w:t>
            </w:r>
          </w:p>
        </w:tc>
      </w:tr>
      <w:tr>
        <w:tblPrEx>
          <w:tblCellMar>
            <w:top w:w="0" w:type="dxa"/>
            <w:left w:w="108" w:type="dxa"/>
            <w:bottom w:w="0" w:type="dxa"/>
            <w:right w:w="108" w:type="dxa"/>
          </w:tblCellMar>
        </w:tblPrEx>
        <w:trPr>
          <w:trHeight w:val="57" w:hRule="atLeast"/>
          <w:jc w:val="center"/>
        </w:trPr>
        <w:tc>
          <w:tcPr>
            <w:tcW w:w="1159" w:type="dxa"/>
            <w:vMerge w:val="continue"/>
            <w:tcBorders>
              <w:left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信息技术应用能力</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具备熟练利用各种现代信息技术查阅资料，获取所需信息、处理信息和掌握新知识、新技术的能力</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商务办公软件高级应用、PS图像处理、视频编辑制作与营销、数字化营销</w:t>
            </w:r>
          </w:p>
        </w:tc>
      </w:tr>
      <w:tr>
        <w:tblPrEx>
          <w:tblCellMar>
            <w:top w:w="0" w:type="dxa"/>
            <w:left w:w="108" w:type="dxa"/>
            <w:bottom w:w="0" w:type="dxa"/>
            <w:right w:w="108" w:type="dxa"/>
          </w:tblCellMar>
        </w:tblPrEx>
        <w:trPr>
          <w:trHeight w:val="57" w:hRule="atLeast"/>
          <w:jc w:val="center"/>
        </w:trPr>
        <w:tc>
          <w:tcPr>
            <w:tcW w:w="1159" w:type="dxa"/>
            <w:vMerge w:val="continue"/>
            <w:tcBorders>
              <w:left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沟通表达能力</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养成良好的生活习惯，适应合作与竞争，具备一定的组织、协调能力和良好的沟通、表达能力</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人际沟通与礼仪、</w:t>
            </w:r>
            <w:r>
              <w:rPr>
                <w:rFonts w:hint="eastAsia" w:ascii="宋体" w:hAnsi="宋体" w:cs="宋体"/>
                <w:color w:val="auto"/>
                <w:kern w:val="0"/>
                <w:sz w:val="21"/>
                <w:szCs w:val="21"/>
                <w:highlight w:val="none"/>
                <w:lang w:eastAsia="zh-CN"/>
              </w:rPr>
              <w:t>职业发展与就业指导</w:t>
            </w:r>
            <w:r>
              <w:rPr>
                <w:rFonts w:hint="eastAsia" w:ascii="宋体" w:hAnsi="宋体" w:cs="宋体"/>
                <w:color w:val="auto"/>
                <w:kern w:val="0"/>
                <w:sz w:val="21"/>
                <w:szCs w:val="21"/>
                <w:highlight w:val="none"/>
              </w:rPr>
              <w:t>、电商企业职业技能培训</w:t>
            </w:r>
          </w:p>
        </w:tc>
      </w:tr>
      <w:tr>
        <w:tblPrEx>
          <w:tblCellMar>
            <w:top w:w="0" w:type="dxa"/>
            <w:left w:w="108" w:type="dxa"/>
            <w:bottom w:w="0" w:type="dxa"/>
            <w:right w:w="108" w:type="dxa"/>
          </w:tblCellMar>
        </w:tblPrEx>
        <w:trPr>
          <w:trHeight w:val="57" w:hRule="atLeast"/>
          <w:jc w:val="center"/>
        </w:trPr>
        <w:tc>
          <w:tcPr>
            <w:tcW w:w="115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团队合作能力</w:t>
            </w:r>
          </w:p>
        </w:tc>
        <w:tc>
          <w:tcPr>
            <w:tcW w:w="3570"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通过给学生布置团队合作任务,使学生在完成团队任务过程中,通过亲身体验来达到提高团队合作能力的目的.培养学生分工合作及团队协作能力</w:t>
            </w:r>
          </w:p>
        </w:tc>
        <w:tc>
          <w:tcPr>
            <w:tcW w:w="25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电商运营实战、电商企业职业技能培训、团队素质拓展</w:t>
            </w:r>
          </w:p>
        </w:tc>
      </w:tr>
    </w:tbl>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六、课程设置及要求</w:t>
      </w:r>
    </w:p>
    <w:p>
      <w:pPr>
        <w:spacing w:before="120" w:beforeLines="50" w:after="120" w:afterLines="50"/>
        <w:ind w:firstLine="560"/>
        <w:jc w:val="left"/>
        <w:rPr>
          <w:rFonts w:ascii="黑体" w:eastAsia="黑体"/>
          <w:bCs/>
          <w:color w:val="auto"/>
          <w:sz w:val="28"/>
          <w:szCs w:val="28"/>
          <w:highlight w:val="none"/>
        </w:rPr>
      </w:pPr>
      <w:r>
        <w:rPr>
          <w:rFonts w:hint="eastAsia" w:ascii="黑体" w:eastAsia="黑体"/>
          <w:bCs/>
          <w:color w:val="auto"/>
          <w:sz w:val="28"/>
          <w:szCs w:val="28"/>
          <w:highlight w:val="none"/>
        </w:rPr>
        <w:t>（一）公共基础课程</w:t>
      </w:r>
    </w:p>
    <w:p>
      <w:pPr>
        <w:snapToGrid w:val="0"/>
        <w:ind w:firstLine="480"/>
        <w:rPr>
          <w:rFonts w:ascii="Calibri" w:hAnsi="Calibri"/>
          <w:color w:val="auto"/>
          <w:highlight w:val="none"/>
        </w:rPr>
      </w:pPr>
      <w:r>
        <w:rPr>
          <w:rFonts w:hint="eastAsia" w:ascii="Calibri" w:hAnsi="Calibri"/>
          <w:color w:val="auto"/>
          <w:highlight w:val="none"/>
        </w:rPr>
        <w:t>公共基础课共计15门，括</w:t>
      </w:r>
      <w:r>
        <w:rPr>
          <w:rFonts w:hint="eastAsia" w:ascii="Calibri" w:hAnsi="Calibri"/>
          <w:color w:val="auto"/>
          <w:highlight w:val="none"/>
          <w:lang w:eastAsia="zh-CN"/>
        </w:rPr>
        <w:t>思想道德与法治</w:t>
      </w:r>
      <w:r>
        <w:rPr>
          <w:rFonts w:hint="eastAsia" w:ascii="Calibri" w:hAnsi="Calibri"/>
          <w:color w:val="auto"/>
          <w:highlight w:val="none"/>
        </w:rPr>
        <w:t>、形势与政策、</w:t>
      </w:r>
      <w:r>
        <w:rPr>
          <w:rFonts w:hint="eastAsia" w:ascii="Calibri" w:hAnsi="Calibri"/>
          <w:color w:val="auto"/>
          <w:highlight w:val="none"/>
          <w:lang w:eastAsia="zh-CN"/>
        </w:rPr>
        <w:t>信息技术基础</w:t>
      </w:r>
      <w:r>
        <w:rPr>
          <w:rFonts w:hint="eastAsia" w:ascii="Calibri" w:hAnsi="Calibri"/>
          <w:color w:val="auto"/>
          <w:highlight w:val="none"/>
        </w:rPr>
        <w:t>、毛泽东思想和中国特色社会主义理论体系概论、</w:t>
      </w:r>
      <w:r>
        <w:rPr>
          <w:rFonts w:hint="eastAsia" w:ascii="Calibri" w:hAnsi="Calibri"/>
          <w:color w:val="auto"/>
          <w:highlight w:val="none"/>
          <w:lang w:eastAsia="zh-CN"/>
        </w:rPr>
        <w:t>实用</w:t>
      </w:r>
      <w:r>
        <w:rPr>
          <w:rFonts w:hint="eastAsia" w:ascii="Calibri" w:hAnsi="Calibri"/>
          <w:color w:val="auto"/>
          <w:highlight w:val="none"/>
        </w:rPr>
        <w:t>英语、人际沟通与礼仪、体育、军事技能、军事理论、大学生心理健康、劳动技术、创新创业基础、</w:t>
      </w:r>
      <w:r>
        <w:rPr>
          <w:rFonts w:hint="eastAsia" w:ascii="宋体" w:hAnsi="宋体" w:cs="宋体"/>
          <w:color w:val="auto"/>
          <w:kern w:val="0"/>
          <w:sz w:val="24"/>
          <w:szCs w:val="24"/>
          <w:highlight w:val="none"/>
        </w:rPr>
        <w:t>大学语文</w:t>
      </w:r>
      <w:r>
        <w:rPr>
          <w:rFonts w:hint="eastAsia" w:ascii="Calibri" w:hAnsi="Calibri"/>
          <w:color w:val="auto"/>
          <w:highlight w:val="none"/>
        </w:rPr>
        <w:t>、职业</w:t>
      </w:r>
      <w:r>
        <w:rPr>
          <w:rFonts w:hint="eastAsia" w:ascii="Calibri" w:hAnsi="Calibri"/>
          <w:color w:val="auto"/>
          <w:highlight w:val="none"/>
          <w:lang w:eastAsia="zh-CN"/>
        </w:rPr>
        <w:t>发展与就业指导</w:t>
      </w:r>
      <w:r>
        <w:rPr>
          <w:rFonts w:hint="eastAsia" w:ascii="Calibri" w:hAnsi="Calibri"/>
          <w:color w:val="auto"/>
          <w:highlight w:val="none"/>
        </w:rPr>
        <w:t>、社会实践。</w:t>
      </w:r>
    </w:p>
    <w:p>
      <w:pPr>
        <w:snapToGrid w:val="0"/>
        <w:ind w:firstLine="482"/>
        <w:rPr>
          <w:rFonts w:hint="eastAsia" w:ascii="Calibri" w:hAnsi="Calibri" w:eastAsia="宋体"/>
          <w:b/>
          <w:bCs/>
          <w:color w:val="auto"/>
          <w:highlight w:val="none"/>
          <w:lang w:eastAsia="zh-CN"/>
        </w:rPr>
      </w:pPr>
      <w:r>
        <w:rPr>
          <w:rFonts w:hint="eastAsia" w:ascii="Calibri" w:hAnsi="Calibri"/>
          <w:b/>
          <w:bCs/>
          <w:color w:val="auto"/>
          <w:highlight w:val="none"/>
        </w:rPr>
        <w:t>（</w:t>
      </w:r>
      <w:r>
        <w:rPr>
          <w:rFonts w:ascii="Calibri" w:hAnsi="Calibri"/>
          <w:b/>
          <w:bCs/>
          <w:color w:val="auto"/>
          <w:highlight w:val="none"/>
        </w:rPr>
        <w:t>1</w:t>
      </w:r>
      <w:r>
        <w:rPr>
          <w:rFonts w:hint="eastAsia" w:ascii="Calibri" w:hAnsi="Calibri"/>
          <w:b/>
          <w:bCs/>
          <w:color w:val="auto"/>
          <w:highlight w:val="none"/>
        </w:rPr>
        <w:t>）课程名称：</w:t>
      </w:r>
      <w:r>
        <w:rPr>
          <w:rFonts w:hint="eastAsia" w:ascii="Calibri" w:hAnsi="Calibri"/>
          <w:b/>
          <w:bCs/>
          <w:color w:val="auto"/>
          <w:highlight w:val="none"/>
          <w:lang w:eastAsia="zh-CN"/>
        </w:rPr>
        <w:t>思想道德与法治</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通过本课程教学使马克思主义人生观、价值观、道德观、法制观成为学生言行的指南,使学生自觉运用理论指导学习、生活和工作，从而培养学生高尚的道德情操和强烈的法制意识,提高学生分析问题、解决问题的能力，增强社会责任感和使命感，提升学生的综合素质，培养社会主义事业合格的接班人和建设者,通过基本知识的学习形成良好的思想道德行为习惯和正确的法律观念。</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明确中国精神是兴国强国之魂，理解和掌握做忠诚的爱国者和改革创新生力军是大学生的最基本要求,理解掌握社会主义核心价值观的基本内容和重大意义，进而坚定价值自信，自觉做社会主义核心价值观的践行者,明确道德的功能与作用，吸收借鉴优秀道德成果，掌握公民道德准则和道德践行的基本途径,了解法律的本质，学习法律知识的意义，理解社会主义法律的本质特征和运行机制，掌握中国特色社会主义法律体系的内容和宪法的发展历史、基本特征和宪法规定的公民基本权利和基本义务，了解与大学生联系密切的民法、刑法等部门法的法律常识。</w:t>
      </w:r>
    </w:p>
    <w:p>
      <w:pPr>
        <w:snapToGrid w:val="0"/>
        <w:ind w:firstLine="482"/>
        <w:rPr>
          <w:rFonts w:ascii="Calibri" w:hAnsi="Calibri"/>
          <w:b/>
          <w:bCs/>
          <w:color w:val="auto"/>
          <w:highlight w:val="none"/>
        </w:rPr>
      </w:pPr>
      <w:r>
        <w:rPr>
          <w:rFonts w:hint="eastAsia" w:ascii="Calibri" w:hAnsi="Calibri"/>
          <w:b/>
          <w:bCs/>
          <w:color w:val="auto"/>
          <w:highlight w:val="none"/>
        </w:rPr>
        <w:t>（</w:t>
      </w:r>
      <w:r>
        <w:rPr>
          <w:rFonts w:ascii="Calibri" w:hAnsi="Calibri"/>
          <w:b/>
          <w:bCs/>
          <w:color w:val="auto"/>
          <w:highlight w:val="none"/>
        </w:rPr>
        <w:t>2</w:t>
      </w:r>
      <w:r>
        <w:rPr>
          <w:rFonts w:hint="eastAsia" w:ascii="Calibri" w:hAnsi="Calibri"/>
          <w:b/>
          <w:bCs/>
          <w:color w:val="auto"/>
          <w:highlight w:val="none"/>
        </w:rPr>
        <w:t>）课程名称：形式与政策</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帮助学生正确认识国家的政治、经济形势，以及国家改革与发展所处的国际环境、时代背景，正确分析社会关注的热点问题，增强其民族自信心和社会责任感，把握未来，勤奋学习，成才报国。</w:t>
      </w:r>
    </w:p>
    <w:p>
      <w:pPr>
        <w:snapToGrid w:val="0"/>
        <w:ind w:firstLine="482"/>
        <w:rPr>
          <w:rFonts w:ascii="Calibri" w:hAnsi="Calibri"/>
          <w:color w:val="auto"/>
          <w:highlight w:val="none"/>
        </w:rPr>
      </w:pPr>
      <w:r>
        <w:rPr>
          <w:rFonts w:hint="eastAsia" w:ascii="Calibri" w:hAnsi="Calibri"/>
          <w:b/>
          <w:bCs/>
          <w:color w:val="auto"/>
          <w:highlight w:val="none"/>
        </w:rPr>
        <w:t>主要内容和学习要求：</w:t>
      </w:r>
      <w:r>
        <w:rPr>
          <w:rFonts w:hint="eastAsia" w:ascii="Calibri" w:hAnsi="Calibri"/>
          <w:color w:val="auto"/>
          <w:highlight w:val="none"/>
        </w:rPr>
        <w:t>依据教育部“形势与政策”最新教学要点，结合高校“形势与政策”课教学实际，在介绍当前国内外经济政治形势、国际关系以及国内外热点事件的基础上，阐明了我国政府的基本原则、基本立场与应对政策。帮助大学生运用马克思主义形势观和政策观的基本原理的基础上认清形势和理解政策，把握现实社会的内在规律，为分析国际、国内形势积累必要的知识和阅历，对自己人生的道路选择和发展定位做出正确的判断和科学的设计。</w:t>
      </w:r>
    </w:p>
    <w:p>
      <w:pPr>
        <w:snapToGrid w:val="0"/>
        <w:ind w:firstLine="482"/>
        <w:rPr>
          <w:rFonts w:hint="eastAsia" w:ascii="Calibri" w:hAnsi="Calibri" w:eastAsia="宋体"/>
          <w:b/>
          <w:bCs/>
          <w:color w:val="auto"/>
          <w:highlight w:val="none"/>
          <w:lang w:eastAsia="zh-CN"/>
        </w:rPr>
      </w:pPr>
      <w:r>
        <w:rPr>
          <w:rFonts w:hint="eastAsia" w:ascii="Calibri" w:hAnsi="Calibri"/>
          <w:b/>
          <w:bCs/>
          <w:color w:val="auto"/>
          <w:highlight w:val="none"/>
        </w:rPr>
        <w:t>（3）课程名称：</w:t>
      </w:r>
      <w:r>
        <w:rPr>
          <w:rFonts w:hint="eastAsia" w:ascii="Calibri" w:hAnsi="Calibri"/>
          <w:b/>
          <w:bCs/>
          <w:color w:val="auto"/>
          <w:highlight w:val="none"/>
          <w:lang w:eastAsia="zh-CN"/>
        </w:rPr>
        <w:t>信息技术基础</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以培养学生的专业能力、社会能力、方法能力和职业能力为主，课程教学内容的取舍和内容排序遵循职业性原则，课程实施行动导向的教学模式，突出就业导向，能力本位，以学生为主体，多元智力的学生观，突出课程的职业性，实践性和开放性，紧紧盯住产业需求，牢牢贴近一线服务，专业融入产业，规格服务岗位，教学贴近生产等。</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根据职业需求为依据，面向办公自动化应用，通过对计算机日常使用的典型工作任务进行分析，围绕对学生实践操作能力、社会能力、方法能力及自主学习和创新能力的培养。</w:t>
      </w:r>
    </w:p>
    <w:p>
      <w:pPr>
        <w:snapToGrid w:val="0"/>
        <w:ind w:firstLine="482"/>
        <w:rPr>
          <w:rFonts w:hint="eastAsia" w:ascii="Calibri" w:hAnsi="Calibri" w:eastAsia="宋体"/>
          <w:b/>
          <w:bCs/>
          <w:color w:val="auto"/>
          <w:highlight w:val="none"/>
          <w:lang w:eastAsia="zh-CN"/>
        </w:rPr>
      </w:pPr>
      <w:r>
        <w:rPr>
          <w:rFonts w:hint="eastAsia" w:ascii="Calibri" w:hAnsi="Calibri"/>
          <w:b/>
          <w:bCs/>
          <w:color w:val="auto"/>
          <w:highlight w:val="none"/>
        </w:rPr>
        <w:t>（4）课程名称：毛泽东思想和中国特色社会主义理论体系概论</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帮助学生系统掌握毛泽东思想和中国特色社会主义理论体系基本原理，坚定在党的领导下走中国特色社会主义道路的理想信念。坚持马克思主义立场观点方法，坚持科学社会主义基本原则，科学总结世界社会主义经验教训，以崭内容丰赡，思想成熟，系统完整，总系统和子系统有机联系，体现理论逻辑新的思想内容丰富和发展了马克思主义，是当代中国马克思主义、21世纪马克思主义。</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贯彻落实习近平新时代中国特色社会主义思想，十九大报告提出新时代坚持和发展中国特色社会主义的基本方略，并概括为“十四个坚持”。关注中国特色社会主义，中国梦，历史性、根本性的变革和成就，新时代，社会主要矛盾的变化，坚持党对一切工作的领导，以人民为中心，全面深化改革，新发展理念，全面建成小康社会，新征程，高质量发展，全面开放新格局，人民当家作主，社会主义协商民主，社会主义法治国家，社会主义文化，社会主义意识形态，保障和改善民生，社会治理格局，美丽中国，全面建成世界一流军队，坚持“一国两制”和推进祖国统一，构建人类命运共同体，“一带一路”倡议，把党建设得更加坚强有力。</w:t>
      </w:r>
    </w:p>
    <w:p>
      <w:pPr>
        <w:ind w:firstLine="482"/>
        <w:rPr>
          <w:rFonts w:ascii="Calibri" w:hAnsi="Calibri"/>
          <w:b/>
          <w:bCs/>
          <w:color w:val="auto"/>
          <w:highlight w:val="none"/>
        </w:rPr>
      </w:pPr>
      <w:r>
        <w:rPr>
          <w:rFonts w:hint="eastAsia" w:ascii="Calibri" w:hAnsi="Calibri"/>
          <w:b/>
          <w:bCs/>
          <w:color w:val="auto"/>
          <w:highlight w:val="none"/>
        </w:rPr>
        <w:t>（5）课程名称：</w:t>
      </w:r>
      <w:r>
        <w:rPr>
          <w:rFonts w:hint="eastAsia" w:ascii="Calibri" w:hAnsi="Calibri"/>
          <w:b/>
          <w:bCs/>
          <w:color w:val="auto"/>
          <w:highlight w:val="none"/>
          <w:lang w:eastAsia="zh-CN"/>
        </w:rPr>
        <w:t>实用</w:t>
      </w:r>
      <w:r>
        <w:rPr>
          <w:rFonts w:hint="eastAsia" w:ascii="Calibri" w:hAnsi="Calibri"/>
          <w:b/>
          <w:bCs/>
          <w:color w:val="auto"/>
          <w:highlight w:val="none"/>
        </w:rPr>
        <w:t>英语</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培养学生在</w:t>
      </w:r>
      <w:r>
        <w:rPr>
          <w:rFonts w:ascii="Calibri" w:hAnsi="Calibri"/>
          <w:color w:val="auto"/>
          <w:highlight w:val="none"/>
        </w:rPr>
        <w:t>网络编程过程中需要学习及应用的单词及词汇，对编程语言常用的单词代码有一定的熟悉，为以后在编程及数据模型处理打下基础。</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color w:val="auto"/>
          <w:highlight w:val="none"/>
        </w:rPr>
        <w:t>覆盖电子商务软件与硬件、网络技术、网络营销和物流等方面，常应用的函数，同时兼顾这些方面的发展热点，涉及网路及编程语言的发展及应用，常见的命令及适用场景和模型。</w:t>
      </w:r>
    </w:p>
    <w:p>
      <w:pPr>
        <w:snapToGrid w:val="0"/>
        <w:ind w:firstLine="482"/>
        <w:rPr>
          <w:rFonts w:ascii="Calibri" w:hAnsi="Calibri"/>
          <w:b/>
          <w:bCs/>
          <w:color w:val="auto"/>
          <w:highlight w:val="none"/>
        </w:rPr>
      </w:pPr>
      <w:r>
        <w:rPr>
          <w:rFonts w:hint="eastAsia" w:ascii="Calibri" w:hAnsi="Calibri"/>
          <w:b/>
          <w:bCs/>
          <w:color w:val="auto"/>
          <w:highlight w:val="none"/>
        </w:rPr>
        <w:t>（6）课程名称：人际沟通与礼仪</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要求学生了解相关人际沟通与礼仪知识、人际沟通的技巧、了解各种礼仪形式、外事迎送、签字和谈判等礼仪规范；理解次序和席位安排、宴请（西餐）礼仪等应知应会的知识和能力要求，掌握日常社交活动中有关介绍、握手、问候、称呼、致意、尊时守信、拜访与接待、通讯礼仪、交谈礼仪的规范要。</w:t>
      </w:r>
    </w:p>
    <w:p>
      <w:pPr>
        <w:snapToGrid w:val="0"/>
        <w:ind w:firstLine="482"/>
        <w:rPr>
          <w:rFonts w:ascii="Calibri" w:hAnsi="Calibri"/>
          <w:b/>
          <w:bCs/>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在通过对学生进行礼仪知识的传授及相关技能的学习，引导其塑造富有魅力的个人形象，形成彬彬有礼的交际风度，掌握得体娴熟的职场沟通技巧及待人接物技能，提高其人文素养，从而有效提升其职场竞争力。</w:t>
      </w:r>
    </w:p>
    <w:p>
      <w:pPr>
        <w:snapToGrid w:val="0"/>
        <w:ind w:firstLine="482"/>
        <w:rPr>
          <w:rFonts w:ascii="Calibri" w:hAnsi="Calibri"/>
          <w:b/>
          <w:bCs/>
          <w:color w:val="auto"/>
          <w:highlight w:val="none"/>
        </w:rPr>
      </w:pPr>
      <w:r>
        <w:rPr>
          <w:rFonts w:hint="eastAsia" w:ascii="Calibri" w:hAnsi="Calibri"/>
          <w:b/>
          <w:bCs/>
          <w:color w:val="auto"/>
          <w:highlight w:val="none"/>
        </w:rPr>
        <w:t>（7）课程名称：体育</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增强体能，掌握和应用基本的体育与健康知识与技能，培养运动兴趣和爱好，形成坚持锻炼的习惯，具有良好的心理品质，表现出人际交往的能力与合作精神，提高个人健康和群体健康的责任感，形成健康的生活方式，发扬体育精神，形成积极进取、乐观开朗的生活态度。</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体育实践活动起着导向作用，并规定着体育文化模式的选择。体育精神作为一种具有能动作用的意识，是体育行为的动力源泉，是一种身体健康资源。作为一种规范力量，它又具体表现为体育面貌、体育风范、体育心态、体育期望等。体育精神就是“健康向上”的精神，体育运动往往能反映出一个人不懈奋斗的精神，还可以改变个人的命运。</w:t>
      </w:r>
    </w:p>
    <w:p>
      <w:pPr>
        <w:snapToGrid w:val="0"/>
        <w:ind w:firstLine="482"/>
        <w:rPr>
          <w:rFonts w:ascii="Calibri" w:hAnsi="Calibri"/>
          <w:b/>
          <w:bCs/>
          <w:color w:val="auto"/>
          <w:highlight w:val="none"/>
        </w:rPr>
      </w:pPr>
      <w:r>
        <w:rPr>
          <w:rFonts w:hint="eastAsia" w:ascii="Calibri" w:hAnsi="Calibri"/>
          <w:b/>
          <w:bCs/>
          <w:color w:val="auto"/>
          <w:highlight w:val="none"/>
        </w:rPr>
        <w:t>（8）课程名称：军事技能</w:t>
      </w:r>
    </w:p>
    <w:p>
      <w:pPr>
        <w:ind w:firstLine="482"/>
        <w:rPr>
          <w:rFonts w:asciiTheme="minorHAnsi" w:hAnsiTheme="minorHAnsi" w:cstheme="minorBidi"/>
          <w:color w:val="auto"/>
          <w:highlight w:val="none"/>
          <w:lang w:val="zh-CN"/>
        </w:rPr>
      </w:pPr>
      <w:r>
        <w:rPr>
          <w:rFonts w:hint="eastAsia" w:asciiTheme="minorHAnsi" w:hAnsiTheme="minorHAnsi" w:cstheme="minorBidi"/>
          <w:b/>
          <w:bCs/>
          <w:color w:val="auto"/>
          <w:highlight w:val="none"/>
          <w:lang w:val="zh-CN"/>
        </w:rPr>
        <w:t>课程目标：</w:t>
      </w:r>
      <w:r>
        <w:rPr>
          <w:rFonts w:hint="eastAsia" w:asciiTheme="minorHAnsi" w:hAnsiTheme="minorHAnsi" w:cstheme="minorBidi"/>
          <w:color w:val="auto"/>
          <w:highlight w:val="none"/>
          <w:lang w:val="zh-CN"/>
        </w:rPr>
        <w:t>进一步树立大学生的爱国主义思想，增强国防观念，加强组织性纪律性。同时通过军事训练掌握一定的军事知识和技能，增强学生体质，为国防预备役储备力量。</w:t>
      </w:r>
    </w:p>
    <w:p>
      <w:pPr>
        <w:ind w:firstLine="482"/>
        <w:rPr>
          <w:rFonts w:ascii="Calibri" w:hAnsi="Calibri" w:cstheme="minorBidi"/>
          <w:color w:val="auto"/>
          <w:highlight w:val="none"/>
        </w:rPr>
      </w:pPr>
      <w:r>
        <w:rPr>
          <w:rFonts w:hint="eastAsia" w:ascii="Calibri" w:hAnsi="Calibri"/>
          <w:b/>
          <w:bCs/>
          <w:color w:val="auto"/>
          <w:highlight w:val="none"/>
        </w:rPr>
        <w:t>主要教学内容和要求：</w:t>
      </w:r>
      <w:r>
        <w:rPr>
          <w:rFonts w:hint="eastAsia" w:asciiTheme="minorHAnsi" w:hAnsiTheme="minorHAnsi" w:cstheme="minorBidi"/>
          <w:color w:val="auto"/>
          <w:highlight w:val="none"/>
          <w:lang w:val="zh-CN"/>
        </w:rPr>
        <w:t>围绕服务国家人才培养、服务国防后备力量建设开展，坚持着眼时代特征、遵循教育规律、注重实际效果、实施分类指导。通过军事训练，使学生掌握基本军事技能和军事理论，增强国防观念、国家安全意识，加强组织性、纪律性，弘扬爱国主义、集体主义和革命英雄主义精神，磨练意志品质，激发战胜困难的信心和勇气，培养艰苦奋斗、吃苦耐劳的作风，树立正确的世界观、人生观和价值观，提高综合素质。</w:t>
      </w:r>
    </w:p>
    <w:p>
      <w:pPr>
        <w:snapToGrid w:val="0"/>
        <w:ind w:firstLine="482"/>
        <w:rPr>
          <w:rFonts w:ascii="Calibri" w:hAnsi="Calibri"/>
          <w:b/>
          <w:bCs/>
          <w:color w:val="auto"/>
          <w:highlight w:val="none"/>
        </w:rPr>
      </w:pPr>
      <w:r>
        <w:rPr>
          <w:rFonts w:hint="eastAsia" w:ascii="Calibri" w:hAnsi="Calibri"/>
          <w:b/>
          <w:bCs/>
          <w:color w:val="auto"/>
          <w:highlight w:val="none"/>
        </w:rPr>
        <w:t>（9）课程名称：军事理论</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的目的。</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我国人才培养的战略目标和加强国防后备力量建设的需要，为培养高素质的社会主义事业的建设者和保卫者服务。军事理论课以国防教育为主线，使大学生掌握基本军事理论与军事技能，达到增强国防观念和国防意识，强化爱国意识、集体主义观念，加强纪律性，促进大学生综合素质的提高，为中国人民解放军训练后备兵员和培养预备役军官打下坚实的基础。</w:t>
      </w:r>
    </w:p>
    <w:p>
      <w:pPr>
        <w:snapToGrid w:val="0"/>
        <w:ind w:firstLine="482"/>
        <w:rPr>
          <w:rFonts w:ascii="Calibri" w:hAnsi="Calibri"/>
          <w:b/>
          <w:bCs/>
          <w:color w:val="auto"/>
          <w:highlight w:val="none"/>
        </w:rPr>
      </w:pPr>
      <w:r>
        <w:rPr>
          <w:rFonts w:hint="eastAsia" w:ascii="Calibri" w:hAnsi="Calibri"/>
          <w:b/>
          <w:bCs/>
          <w:color w:val="auto"/>
          <w:highlight w:val="none"/>
        </w:rPr>
        <w:t>（10）课程名称：大学生心理健康</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心理健康的评价标准、青年期心理发展的年龄特征以及大学生常见的心理障碍与防治等健康心理学的基本概念和基本理论，个体心理健康的各种因素。理解自我意识、情绪与情感状态、意志品质、人格特征等个体心理素养与心理健康的关系；掌握大学生学习心理的促进、人际关系调适、性心理与恋爱心理的调节以及挫折应对方式等大学生活适应方面的基本方法与技能。</w:t>
      </w:r>
    </w:p>
    <w:p>
      <w:pPr>
        <w:snapToGrid w:val="0"/>
        <w:ind w:firstLine="482"/>
        <w:rPr>
          <w:rFonts w:ascii="Calibri" w:hAnsi="Calibri"/>
          <w:b/>
          <w:bCs/>
          <w:color w:val="auto"/>
          <w:highlight w:val="none"/>
        </w:rPr>
      </w:pPr>
      <w:r>
        <w:rPr>
          <w:rFonts w:hint="eastAsia" w:ascii="Calibri" w:hAnsi="Calibri"/>
          <w:b/>
          <w:bCs/>
          <w:color w:val="auto"/>
          <w:highlight w:val="none"/>
        </w:rPr>
        <w:t>（11）课程名称：劳动技术</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通过劳动教育，牢固树立学生劳动最光荣、劳动最崇高、劳动最伟大、劳动最美丽的观念，培养学生勤俭、奋斗、创新、奉献的劳动精神，提高学生劳动技能，并形成良好劳动习惯。</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制定本专业劳动教育清单，以实习实训为载体，结合日常劳动、专业服务、社会实践、勤工助学、志愿服务等，将新知识、新技术、新工艺、新方法应用融入课程内容。开展劳动模范进校园、“以学制造”劳动创意大赛等活动，培养学生创造性解决实际问题能力，引导学生诚实劳动、尊重劳动、热爱劳动，增强职业荣誉感，积累职业经验，提升就业创业能力。</w:t>
      </w:r>
    </w:p>
    <w:p>
      <w:pPr>
        <w:snapToGrid w:val="0"/>
        <w:ind w:firstLine="482"/>
        <w:rPr>
          <w:rFonts w:ascii="Calibri" w:hAnsi="Calibri"/>
          <w:b/>
          <w:bCs/>
          <w:color w:val="auto"/>
          <w:highlight w:val="none"/>
        </w:rPr>
      </w:pPr>
      <w:r>
        <w:rPr>
          <w:rFonts w:hint="eastAsia" w:ascii="Calibri" w:hAnsi="Calibri"/>
          <w:b/>
          <w:bCs/>
          <w:color w:val="auto"/>
          <w:highlight w:val="none"/>
        </w:rPr>
        <w:t>（12）课程名称：创新创业基础</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培养学生岗位立业、开拓事业的能力，也培养学生创办企业、锐意创新的能力为目标，培养学生的社会责任感、创新精神、创业意识和创业能力。</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包括职业生涯规划、创新与创新思维、评估创业者、创业机会和创业风险、创业资源、创业环境与法律法规、制定创业计划、开办你的企业、新企业的营销管理、新企业的财务管理等模块。通过翻转课堂、分组式和讨论式场景、成功案例、实践活动、专业培训等多种教学模式，培养学生创新思维、创业意识和企业家精神，提升就业创业综合素质和能力。</w:t>
      </w:r>
    </w:p>
    <w:p>
      <w:pPr>
        <w:snapToGrid w:val="0"/>
        <w:ind w:left="482" w:firstLine="0" w:firstLineChars="0"/>
        <w:rPr>
          <w:rFonts w:ascii="Calibri" w:hAnsi="Calibri"/>
          <w:b/>
          <w:bCs/>
          <w:color w:val="auto"/>
          <w:highlight w:val="none"/>
        </w:rPr>
      </w:pPr>
      <w:r>
        <w:rPr>
          <w:rFonts w:hint="eastAsia" w:ascii="Calibri" w:hAnsi="Calibri"/>
          <w:b/>
          <w:bCs/>
          <w:color w:val="auto"/>
          <w:highlight w:val="none"/>
        </w:rPr>
        <w:t>（1</w:t>
      </w:r>
      <w:r>
        <w:rPr>
          <w:rFonts w:ascii="Calibri" w:hAnsi="Calibri"/>
          <w:b/>
          <w:bCs/>
          <w:color w:val="auto"/>
          <w:highlight w:val="none"/>
        </w:rPr>
        <w:t>3</w:t>
      </w:r>
      <w:r>
        <w:rPr>
          <w:rFonts w:hint="eastAsia" w:ascii="Calibri" w:hAnsi="Calibri"/>
          <w:b/>
          <w:bCs/>
          <w:color w:val="auto"/>
          <w:highlight w:val="none"/>
        </w:rPr>
        <w:t>）课程名称：大学语文</w:t>
      </w:r>
    </w:p>
    <w:p>
      <w:pPr>
        <w:widowControl/>
        <w:spacing w:line="460" w:lineRule="exact"/>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课程目标：</w:t>
      </w:r>
      <w:r>
        <w:rPr>
          <w:rFonts w:hint="eastAsia" w:ascii="宋体" w:hAnsi="宋体" w:cs="宋体"/>
          <w:color w:val="auto"/>
          <w:kern w:val="0"/>
          <w:sz w:val="24"/>
          <w:szCs w:val="24"/>
          <w:highlight w:val="none"/>
        </w:rPr>
        <w:t>提高和强化对本民族语言文字的理解能力和运用水平，提升阅读分析能力和文字表达能力；阅读理解文学作品，提高学生的思维品质和审美悟性，形成健康高雅的审美心理和情趣；发掘优秀文学作品所蕴涵的内在思想教育、情感熏陶因素，增强爱国主义情怀和民族自豪感；</w:t>
      </w:r>
      <w:r>
        <w:rPr>
          <w:rFonts w:hint="eastAsia" w:ascii="宋体" w:hAnsi="宋体" w:eastAsia="宋体" w:cs="宋体"/>
          <w:color w:val="auto"/>
          <w:kern w:val="0"/>
          <w:sz w:val="24"/>
          <w:szCs w:val="24"/>
          <w:highlight w:val="none"/>
        </w:rPr>
        <w:t>能够写作工作和生活中常见的应用文体，将应用写作与专业实践活动有机结合</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切实提高学生的写作能力</w:t>
      </w:r>
      <w:r>
        <w:rPr>
          <w:rFonts w:hint="eastAsia" w:ascii="宋体" w:hAnsi="宋体" w:eastAsia="宋体" w:cs="宋体"/>
          <w:color w:val="auto"/>
          <w:kern w:val="0"/>
          <w:sz w:val="24"/>
          <w:szCs w:val="24"/>
          <w:highlight w:val="none"/>
        </w:rPr>
        <w:t>。</w:t>
      </w:r>
    </w:p>
    <w:p>
      <w:pPr>
        <w:widowControl/>
        <w:spacing w:line="460" w:lineRule="exact"/>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主要教学内容和要求：</w:t>
      </w:r>
      <w:r>
        <w:rPr>
          <w:rFonts w:hint="eastAsia" w:ascii="宋体" w:hAnsi="宋体" w:cs="宋体"/>
          <w:color w:val="auto"/>
          <w:kern w:val="0"/>
          <w:sz w:val="24"/>
          <w:szCs w:val="24"/>
          <w:highlight w:val="none"/>
        </w:rPr>
        <w:t>精选</w:t>
      </w:r>
      <w:r>
        <w:rPr>
          <w:rFonts w:ascii="宋体" w:hAnsi="宋体" w:cs="宋体"/>
          <w:color w:val="auto"/>
          <w:kern w:val="0"/>
          <w:sz w:val="24"/>
          <w:szCs w:val="24"/>
          <w:highlight w:val="none"/>
        </w:rPr>
        <w:t>古今</w:t>
      </w:r>
      <w:r>
        <w:rPr>
          <w:rFonts w:hint="eastAsia" w:ascii="宋体" w:hAnsi="宋体" w:cs="宋体"/>
          <w:color w:val="auto"/>
          <w:kern w:val="0"/>
          <w:sz w:val="24"/>
          <w:szCs w:val="24"/>
          <w:highlight w:val="none"/>
        </w:rPr>
        <w:t>中外优秀、经典的</w:t>
      </w:r>
      <w:r>
        <w:rPr>
          <w:rFonts w:ascii="宋体" w:hAnsi="宋体" w:cs="宋体"/>
          <w:color w:val="auto"/>
          <w:kern w:val="0"/>
          <w:sz w:val="24"/>
          <w:szCs w:val="24"/>
          <w:highlight w:val="none"/>
        </w:rPr>
        <w:t>文学作品，</w:t>
      </w:r>
      <w:r>
        <w:rPr>
          <w:rFonts w:hint="eastAsia" w:ascii="宋体" w:hAnsi="宋体" w:cs="宋体"/>
          <w:color w:val="auto"/>
          <w:kern w:val="0"/>
          <w:sz w:val="24"/>
          <w:szCs w:val="24"/>
          <w:highlight w:val="none"/>
        </w:rPr>
        <w:t>学习了解</w:t>
      </w:r>
      <w:r>
        <w:rPr>
          <w:rFonts w:ascii="宋体" w:hAnsi="宋体" w:cs="宋体"/>
          <w:color w:val="auto"/>
          <w:kern w:val="0"/>
          <w:sz w:val="24"/>
          <w:szCs w:val="24"/>
          <w:highlight w:val="none"/>
        </w:rPr>
        <w:t>其在文学发展中的地位、作用；分析</w:t>
      </w:r>
      <w:r>
        <w:rPr>
          <w:rFonts w:hint="eastAsia" w:ascii="宋体" w:hAnsi="宋体" w:cs="宋体"/>
          <w:color w:val="auto"/>
          <w:kern w:val="0"/>
          <w:sz w:val="24"/>
          <w:szCs w:val="24"/>
          <w:highlight w:val="none"/>
        </w:rPr>
        <w:t>这</w:t>
      </w:r>
      <w:r>
        <w:rPr>
          <w:rFonts w:ascii="宋体" w:hAnsi="宋体" w:cs="宋体"/>
          <w:color w:val="auto"/>
          <w:kern w:val="0"/>
          <w:sz w:val="24"/>
          <w:szCs w:val="24"/>
          <w:highlight w:val="none"/>
        </w:rPr>
        <w:t>些作品的思想内容、艺术特色，介绍不同体裁文学作品的特点及欣赏方法</w:t>
      </w:r>
      <w:r>
        <w:rPr>
          <w:rFonts w:hint="eastAsia" w:ascii="宋体" w:hAnsi="宋体" w:cs="宋体"/>
          <w:color w:val="auto"/>
          <w:kern w:val="0"/>
          <w:sz w:val="24"/>
          <w:szCs w:val="24"/>
          <w:highlight w:val="none"/>
        </w:rPr>
        <w:t>；学习并</w:t>
      </w:r>
      <w:r>
        <w:rPr>
          <w:rFonts w:ascii="宋体" w:hAnsi="宋体" w:cs="宋体"/>
          <w:color w:val="auto"/>
          <w:kern w:val="0"/>
          <w:sz w:val="24"/>
          <w:szCs w:val="24"/>
          <w:highlight w:val="none"/>
        </w:rPr>
        <w:t>掌握</w:t>
      </w:r>
      <w:r>
        <w:rPr>
          <w:rFonts w:hint="eastAsia" w:ascii="宋体" w:hAnsi="宋体" w:cs="宋体"/>
          <w:color w:val="auto"/>
          <w:kern w:val="0"/>
          <w:sz w:val="24"/>
          <w:szCs w:val="24"/>
          <w:highlight w:val="none"/>
        </w:rPr>
        <w:t>专业论文、</w:t>
      </w:r>
      <w:r>
        <w:rPr>
          <w:rFonts w:ascii="宋体" w:hAnsi="宋体" w:cs="宋体"/>
          <w:color w:val="auto"/>
          <w:kern w:val="0"/>
          <w:sz w:val="24"/>
          <w:szCs w:val="24"/>
          <w:highlight w:val="none"/>
        </w:rPr>
        <w:t>党政公文、事务文书等</w:t>
      </w:r>
      <w:r>
        <w:rPr>
          <w:rFonts w:hint="eastAsia" w:ascii="宋体" w:hAnsi="宋体" w:cs="宋体"/>
          <w:color w:val="auto"/>
          <w:kern w:val="0"/>
          <w:sz w:val="24"/>
          <w:szCs w:val="24"/>
          <w:highlight w:val="none"/>
        </w:rPr>
        <w:t>常用应用文体的</w:t>
      </w:r>
      <w:r>
        <w:rPr>
          <w:rFonts w:ascii="宋体" w:hAnsi="宋体" w:cs="宋体"/>
          <w:color w:val="auto"/>
          <w:kern w:val="0"/>
          <w:sz w:val="24"/>
          <w:szCs w:val="24"/>
          <w:highlight w:val="none"/>
        </w:rPr>
        <w:t>写作规范及要求</w:t>
      </w:r>
      <w:r>
        <w:rPr>
          <w:rFonts w:hint="eastAsia" w:ascii="宋体" w:hAnsi="宋体" w:cs="宋体"/>
          <w:color w:val="auto"/>
          <w:kern w:val="0"/>
          <w:sz w:val="24"/>
          <w:szCs w:val="24"/>
          <w:highlight w:val="none"/>
        </w:rPr>
        <w:t>。</w:t>
      </w:r>
    </w:p>
    <w:p>
      <w:pPr>
        <w:snapToGrid w:val="0"/>
        <w:ind w:firstLine="482"/>
        <w:rPr>
          <w:rFonts w:hint="eastAsia" w:ascii="Calibri" w:hAnsi="Calibri" w:eastAsia="宋体"/>
          <w:b/>
          <w:bCs/>
          <w:color w:val="auto"/>
          <w:highlight w:val="none"/>
          <w:lang w:eastAsia="zh-CN"/>
        </w:rPr>
      </w:pPr>
      <w:r>
        <w:rPr>
          <w:rFonts w:hint="eastAsia" w:ascii="Calibri" w:hAnsi="Calibri"/>
          <w:b/>
          <w:bCs/>
          <w:color w:val="auto"/>
          <w:highlight w:val="none"/>
        </w:rPr>
        <w:t>（14）课程名称：</w:t>
      </w:r>
      <w:r>
        <w:rPr>
          <w:rFonts w:hint="eastAsia" w:ascii="Calibri" w:hAnsi="Calibri"/>
          <w:b/>
          <w:bCs/>
          <w:color w:val="auto"/>
          <w:highlight w:val="none"/>
          <w:lang w:eastAsia="zh-CN"/>
        </w:rPr>
        <w:t>职业发展与就业指导</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使学生认识自己，了解职业特性、专业要求和就业形势，树立正确的职业理想和择业观念，合理规划自己的职业生涯；掌握求职择业技巧，提高就业能力和职业素养，为择业和就业做好充分的准备。</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以学生学习为主体，以提高学生的就业能力与就业素养为主要目的，运用案例分析、情景模拟、市场调研等方式调动学生的积极性，指导学生设计并不断调整职业生涯规划，促进学生整合其它课程、活动的资源，进行有效地学习、训练。使学生掌握有关职业、择业、就业知识，技能以及经验，促进学生选择，获得并准备从事一项与个体匹配的职业并力求获得职业生涯发展的成功。</w:t>
      </w:r>
    </w:p>
    <w:p>
      <w:pPr>
        <w:snapToGrid w:val="0"/>
        <w:ind w:firstLine="482"/>
        <w:rPr>
          <w:rFonts w:ascii="Calibri" w:hAnsi="Calibri"/>
          <w:b/>
          <w:bCs/>
          <w:color w:val="auto"/>
          <w:highlight w:val="none"/>
        </w:rPr>
      </w:pPr>
      <w:r>
        <w:rPr>
          <w:rFonts w:hint="eastAsia" w:ascii="Calibri" w:hAnsi="Calibri"/>
          <w:b/>
          <w:bCs/>
          <w:color w:val="auto"/>
          <w:highlight w:val="none"/>
        </w:rPr>
        <w:t>（15）课程名称：社会实践</w:t>
      </w:r>
    </w:p>
    <w:p>
      <w:pPr>
        <w:ind w:firstLine="482"/>
        <w:rPr>
          <w:rFonts w:asciiTheme="minorHAnsi" w:hAnsiTheme="minorHAnsi" w:cstheme="minorBidi"/>
          <w:color w:val="auto"/>
          <w:highlight w:val="none"/>
          <w:lang w:val="zh-CN"/>
        </w:rPr>
      </w:pPr>
      <w:r>
        <w:rPr>
          <w:rFonts w:hint="eastAsia" w:asciiTheme="minorHAnsi" w:hAnsiTheme="minorHAnsi" w:cstheme="minorBidi"/>
          <w:b/>
          <w:bCs/>
          <w:color w:val="auto"/>
          <w:highlight w:val="none"/>
          <w:lang w:val="zh-CN"/>
        </w:rPr>
        <w:t>课程目标：</w:t>
      </w:r>
      <w:r>
        <w:rPr>
          <w:rFonts w:hint="eastAsia" w:asciiTheme="minorHAnsi" w:hAnsiTheme="minorHAnsi" w:cstheme="minorBidi"/>
          <w:color w:val="auto"/>
          <w:highlight w:val="none"/>
          <w:lang w:val="zh-CN"/>
        </w:rPr>
        <w:t>旨在帮助大学生在丰富多彩的社会课堂中认识社会、了解国情、接受教育、增长才干、锻炼品格，培养团队精神，提高文化素质和自身修养，增强历史使命感和社会责任感。</w:t>
      </w:r>
    </w:p>
    <w:p>
      <w:pPr>
        <w:ind w:firstLine="482"/>
        <w:rPr>
          <w:rFonts w:ascii="Calibri" w:hAnsi="Calibri" w:cstheme="minorBidi"/>
          <w:color w:val="auto"/>
          <w:highlight w:val="none"/>
        </w:rPr>
      </w:pPr>
      <w:r>
        <w:rPr>
          <w:rFonts w:hint="eastAsia" w:asciiTheme="minorHAnsi" w:hAnsiTheme="minorHAnsi" w:cstheme="minorBidi"/>
          <w:b/>
          <w:bCs/>
          <w:color w:val="auto"/>
          <w:highlight w:val="none"/>
          <w:lang w:val="zh-CN"/>
        </w:rPr>
        <w:t>主要教学内容和要求：</w:t>
      </w:r>
      <w:r>
        <w:rPr>
          <w:rFonts w:hint="eastAsia" w:asciiTheme="minorHAnsi" w:hAnsiTheme="minorHAnsi" w:cstheme="minorBidi"/>
          <w:color w:val="auto"/>
          <w:highlight w:val="none"/>
          <w:lang w:val="zh-CN"/>
        </w:rPr>
        <w:t>围绕政务实践、企业实践、公益实践、兼职锻炼四项主要内容，大学生利用寒暑假回到原籍、家乡的时间，通过社会调研、实践、公益志愿行动等方式，推动大学生常态化社会实践活动的开展。</w:t>
      </w:r>
    </w:p>
    <w:p>
      <w:pPr>
        <w:spacing w:before="120" w:beforeLines="50" w:after="120" w:afterLines="50"/>
        <w:ind w:firstLine="560"/>
        <w:jc w:val="left"/>
        <w:rPr>
          <w:rFonts w:ascii="黑体" w:eastAsia="黑体"/>
          <w:bCs/>
          <w:color w:val="auto"/>
          <w:sz w:val="28"/>
          <w:szCs w:val="28"/>
          <w:highlight w:val="none"/>
        </w:rPr>
      </w:pPr>
      <w:r>
        <w:rPr>
          <w:rFonts w:hint="eastAsia" w:ascii="黑体" w:eastAsia="黑体"/>
          <w:bCs/>
          <w:color w:val="auto"/>
          <w:sz w:val="28"/>
          <w:szCs w:val="28"/>
          <w:highlight w:val="none"/>
        </w:rPr>
        <w:t>（二）专业（技能）课程</w:t>
      </w:r>
    </w:p>
    <w:p>
      <w:pPr>
        <w:ind w:firstLine="482"/>
        <w:rPr>
          <w:rFonts w:ascii="Calibri" w:hAnsi="Calibri"/>
          <w:b/>
          <w:bCs/>
          <w:color w:val="auto"/>
          <w:highlight w:val="none"/>
        </w:rPr>
      </w:pPr>
      <w:r>
        <w:rPr>
          <w:rFonts w:hint="eastAsia" w:ascii="Calibri" w:hAnsi="Calibri"/>
          <w:b/>
          <w:bCs/>
          <w:color w:val="auto"/>
          <w:highlight w:val="none"/>
        </w:rPr>
        <w:t>1．专业基础课程</w:t>
      </w:r>
    </w:p>
    <w:p>
      <w:pPr>
        <w:ind w:firstLine="480"/>
        <w:rPr>
          <w:rFonts w:ascii="Calibri" w:hAnsi="Calibri"/>
          <w:color w:val="auto"/>
          <w:highlight w:val="none"/>
        </w:rPr>
      </w:pPr>
      <w:r>
        <w:rPr>
          <w:rFonts w:hint="eastAsia" w:ascii="Calibri" w:hAnsi="Calibri"/>
          <w:color w:val="auto"/>
          <w:highlight w:val="none"/>
        </w:rPr>
        <w:t>专业基础课程6门包括：专业导论、PS图像处理、互联网生存技能、商务办公软件高级应用、数字化营销、网络编程。专业基础课侧重与专业相关的基础理论和基础知识，它在人才培养上更注重基本素养和能力的养成，注重知识基础的专业性，学生通过注意几个不同课程的学习获得大量专业的知识，并且有能力清晰地、了解和认识专业分工、专业方向和学生自己的重要的探究和思维方法。增进学生的对基本专业知识的掌握能力，并且最终能对学生未来的生活和职业作出正确的选择的能力。</w:t>
      </w:r>
    </w:p>
    <w:p>
      <w:pPr>
        <w:ind w:firstLine="482"/>
        <w:rPr>
          <w:rFonts w:ascii="Calibri" w:hAnsi="Calibri"/>
          <w:b/>
          <w:bCs/>
          <w:color w:val="auto"/>
          <w:highlight w:val="none"/>
        </w:rPr>
      </w:pPr>
      <w:r>
        <w:rPr>
          <w:rFonts w:hint="eastAsia" w:ascii="Calibri" w:hAnsi="Calibri"/>
          <w:b/>
          <w:bCs/>
          <w:color w:val="auto"/>
          <w:highlight w:val="none"/>
        </w:rPr>
        <w:t>（1）课程名称：专业导论</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为学生提供一把打开电子商务之门钥匙，需在教学过程中激发学习兴趣，树立良好职业道德观念和社会主义核心价值观，通过对该课程的学习，使学生了解电子商务发，了解电子商务在国民经济中的地位与作用，掌握电子商务各领域有关电子商务典型生产过程，帮助学生顺利地向专业基础和专业课程学习过渡，为《电商运营基础》和《电商运营实训》两门课程奠定框架基础。</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通过对实体电商公司进行考察学习</w:t>
      </w:r>
      <w:r>
        <w:rPr>
          <w:rFonts w:hint="eastAsia" w:ascii="Calibri" w:hAnsi="Calibri"/>
          <w:b/>
          <w:bCs/>
          <w:color w:val="auto"/>
          <w:highlight w:val="none"/>
        </w:rPr>
        <w:t>，</w:t>
      </w:r>
      <w:r>
        <w:rPr>
          <w:rFonts w:hint="eastAsia" w:ascii="Calibri" w:hAnsi="Calibri"/>
          <w:color w:val="auto"/>
          <w:highlight w:val="none"/>
        </w:rPr>
        <w:t>阐明现代商业在网络中的技术、移动技术、数据分析技术、营销流技术、客户管技术、新媒体技术、美工技术、店铺优化技术等基础技术中重要的支撑作用，结合新世纪中全球对可持续发展战略的需求及互联网化所面临的互联网人才资源匮乏与市场竞争的挑战，并通过实例对电子商务的理念、研究内容与发展方向进行了较详实的介绍。</w:t>
      </w:r>
    </w:p>
    <w:p>
      <w:pPr>
        <w:ind w:left="480" w:leftChars="200" w:firstLine="0" w:firstLineChars="0"/>
        <w:rPr>
          <w:rFonts w:hint="eastAsia" w:eastAsia="宋体"/>
          <w:b/>
          <w:bCs/>
          <w:color w:val="auto"/>
          <w:szCs w:val="21"/>
          <w:highlight w:val="none"/>
          <w:lang w:eastAsia="zh-CN"/>
        </w:rPr>
      </w:pPr>
      <w:r>
        <w:rPr>
          <w:rFonts w:hint="eastAsia"/>
          <w:b/>
          <w:bCs/>
          <w:color w:val="auto"/>
          <w:szCs w:val="21"/>
          <w:highlight w:val="none"/>
        </w:rPr>
        <w:t>（2）课程名称：PS图像处理</w:t>
      </w:r>
    </w:p>
    <w:p>
      <w:pPr>
        <w:ind w:left="480" w:leftChars="200" w:firstLine="0" w:firstLineChars="0"/>
        <w:rPr>
          <w:color w:val="auto"/>
          <w:szCs w:val="21"/>
          <w:highlight w:val="none"/>
        </w:rPr>
      </w:pPr>
      <w:r>
        <w:rPr>
          <w:rFonts w:hint="eastAsia"/>
          <w:b/>
          <w:bCs/>
          <w:color w:val="auto"/>
          <w:szCs w:val="21"/>
          <w:highlight w:val="none"/>
        </w:rPr>
        <w:t>课程目标：</w:t>
      </w:r>
      <w:r>
        <w:rPr>
          <w:rFonts w:hint="eastAsia"/>
          <w:color w:val="auto"/>
          <w:szCs w:val="21"/>
          <w:highlight w:val="none"/>
        </w:rPr>
        <w:t>本课程主要是PS软件使用，能够熟练使用PS软件各项工具功能，培养</w:t>
      </w:r>
    </w:p>
    <w:p>
      <w:pPr>
        <w:ind w:firstLine="0" w:firstLineChars="0"/>
        <w:rPr>
          <w:color w:val="auto"/>
          <w:szCs w:val="21"/>
          <w:highlight w:val="none"/>
        </w:rPr>
      </w:pPr>
      <w:r>
        <w:rPr>
          <w:rFonts w:hint="eastAsia"/>
          <w:color w:val="auto"/>
          <w:szCs w:val="21"/>
          <w:highlight w:val="none"/>
        </w:rPr>
        <w:t>学生对图像的处理能力。并且熟练掌握常用快捷键的使用。</w:t>
      </w:r>
    </w:p>
    <w:p>
      <w:pPr>
        <w:ind w:firstLine="482"/>
        <w:rPr>
          <w:color w:val="auto"/>
          <w:szCs w:val="21"/>
          <w:highlight w:val="none"/>
        </w:rPr>
      </w:pPr>
      <w:r>
        <w:rPr>
          <w:rFonts w:hint="eastAsia" w:ascii="Calibri" w:hAnsi="Calibri"/>
          <w:b/>
          <w:bCs/>
          <w:color w:val="auto"/>
          <w:highlight w:val="none"/>
        </w:rPr>
        <w:t>主要教学内容及学习要求：</w:t>
      </w:r>
      <w:r>
        <w:rPr>
          <w:rFonts w:hint="eastAsia"/>
          <w:color w:val="auto"/>
          <w:szCs w:val="21"/>
          <w:highlight w:val="none"/>
        </w:rPr>
        <w:t>主要是讲解图像处理的相关知识，商品照片的修复，商品照片的光影调整，常见抠图方法，细节处理美化商品。网店各板块基本</w:t>
      </w:r>
      <w:r>
        <w:rPr>
          <w:rFonts w:hint="eastAsia" w:ascii="Calibri" w:hAnsi="Calibri"/>
          <w:color w:val="auto"/>
          <w:highlight w:val="none"/>
        </w:rPr>
        <w:t>认识</w:t>
      </w:r>
      <w:r>
        <w:rPr>
          <w:rFonts w:hint="eastAsia"/>
          <w:color w:val="auto"/>
          <w:szCs w:val="21"/>
          <w:highlight w:val="none"/>
        </w:rPr>
        <w:t>和设计方法。使学生掌握商品照片精修和网站美工的必备知识与技能。</w:t>
      </w:r>
    </w:p>
    <w:p>
      <w:pPr>
        <w:ind w:firstLine="482"/>
        <w:rPr>
          <w:rFonts w:ascii="Calibri" w:hAnsi="Calibri"/>
          <w:b/>
          <w:bCs/>
          <w:color w:val="auto"/>
          <w:highlight w:val="none"/>
        </w:rPr>
      </w:pPr>
      <w:r>
        <w:rPr>
          <w:rFonts w:ascii="Calibri" w:hAnsi="Calibri"/>
          <w:b/>
          <w:bCs/>
          <w:color w:val="auto"/>
          <w:highlight w:val="none"/>
        </w:rPr>
        <w:t>（</w:t>
      </w:r>
      <w:r>
        <w:rPr>
          <w:rFonts w:hint="eastAsia" w:ascii="Calibri" w:hAnsi="Calibri"/>
          <w:b/>
          <w:bCs/>
          <w:color w:val="auto"/>
          <w:highlight w:val="none"/>
        </w:rPr>
        <w:t>3</w:t>
      </w:r>
      <w:r>
        <w:rPr>
          <w:rFonts w:ascii="Calibri" w:hAnsi="Calibri"/>
          <w:b/>
          <w:bCs/>
          <w:color w:val="auto"/>
          <w:highlight w:val="none"/>
        </w:rPr>
        <w:t>）</w:t>
      </w:r>
      <w:r>
        <w:rPr>
          <w:rFonts w:hint="eastAsia" w:ascii="Calibri" w:hAnsi="Calibri"/>
          <w:b/>
          <w:bCs/>
          <w:color w:val="auto"/>
          <w:highlight w:val="none"/>
        </w:rPr>
        <w:t>课程名称：互联网生存技能</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使学生</w:t>
      </w:r>
      <w:r>
        <w:rPr>
          <w:rFonts w:ascii="Calibri" w:hAnsi="Calibri"/>
          <w:color w:val="auto"/>
          <w:highlight w:val="none"/>
        </w:rPr>
        <w:t>掌握互联网环境下的生存技能</w:t>
      </w:r>
      <w:r>
        <w:rPr>
          <w:rFonts w:hint="eastAsia" w:ascii="Calibri" w:hAnsi="Calibri"/>
          <w:color w:val="auto"/>
          <w:highlight w:val="none"/>
        </w:rPr>
        <w:t>，</w:t>
      </w:r>
      <w:r>
        <w:rPr>
          <w:rFonts w:ascii="Calibri" w:hAnsi="Calibri"/>
          <w:color w:val="auto"/>
          <w:highlight w:val="none"/>
        </w:rPr>
        <w:t>互联网信息分析能力，具备互联网消费采购能力</w:t>
      </w:r>
      <w:r>
        <w:rPr>
          <w:rFonts w:hint="eastAsia" w:ascii="Calibri" w:hAnsi="Calibri"/>
          <w:color w:val="auto"/>
          <w:highlight w:val="none"/>
        </w:rPr>
        <w:t>，初步具备</w:t>
      </w:r>
      <w:r>
        <w:rPr>
          <w:rFonts w:ascii="Calibri" w:hAnsi="Calibri"/>
          <w:color w:val="auto"/>
          <w:highlight w:val="none"/>
        </w:rPr>
        <w:t>互联网兼职工作能力</w:t>
      </w:r>
      <w:r>
        <w:rPr>
          <w:rFonts w:hint="eastAsia" w:ascii="Calibri" w:hAnsi="Calibri"/>
          <w:color w:val="auto"/>
          <w:highlight w:val="none"/>
        </w:rPr>
        <w:t>，</w:t>
      </w:r>
      <w:r>
        <w:rPr>
          <w:rFonts w:ascii="Calibri" w:hAnsi="Calibri"/>
          <w:color w:val="auto"/>
          <w:highlight w:val="none"/>
        </w:rPr>
        <w:t>具备参与互联网团队项目</w:t>
      </w:r>
      <w:r>
        <w:rPr>
          <w:rFonts w:hint="eastAsia" w:ascii="Calibri" w:hAnsi="Calibri"/>
          <w:color w:val="auto"/>
          <w:highlight w:val="none"/>
        </w:rPr>
        <w:t>能力。</w:t>
      </w:r>
    </w:p>
    <w:p>
      <w:pPr>
        <w:ind w:firstLine="482"/>
        <w:rPr>
          <w:b/>
          <w:bCs/>
          <w:color w:val="auto"/>
          <w:szCs w:val="21"/>
          <w:highlight w:val="none"/>
        </w:rPr>
      </w:pPr>
      <w:r>
        <w:rPr>
          <w:rFonts w:hint="eastAsia" w:ascii="Calibri" w:hAnsi="Calibri"/>
          <w:b/>
          <w:bCs/>
          <w:color w:val="auto"/>
          <w:highlight w:val="none"/>
        </w:rPr>
        <w:t>主要教学内容和要求：</w:t>
      </w:r>
      <w:r>
        <w:rPr>
          <w:rFonts w:ascii="Calibri" w:hAnsi="Calibri"/>
          <w:color w:val="auto"/>
          <w:highlight w:val="none"/>
        </w:rPr>
        <w:t>包括互联网管理法律法规、互联网信息获取与分析</w:t>
      </w:r>
      <w:r>
        <w:rPr>
          <w:rFonts w:hint="eastAsia" w:ascii="Calibri" w:hAnsi="Calibri"/>
          <w:color w:val="auto"/>
          <w:highlight w:val="none"/>
        </w:rPr>
        <w:t>，</w:t>
      </w:r>
      <w:r>
        <w:rPr>
          <w:rFonts w:ascii="Calibri" w:hAnsi="Calibri"/>
          <w:color w:val="auto"/>
          <w:highlight w:val="none"/>
        </w:rPr>
        <w:t>互联网人才共享</w:t>
      </w:r>
      <w:r>
        <w:rPr>
          <w:rFonts w:hint="eastAsia" w:ascii="Calibri" w:hAnsi="Calibri"/>
          <w:color w:val="auto"/>
          <w:highlight w:val="none"/>
        </w:rPr>
        <w:t>，</w:t>
      </w:r>
      <w:r>
        <w:rPr>
          <w:rFonts w:ascii="Calibri" w:hAnsi="Calibri"/>
          <w:color w:val="auto"/>
          <w:highlight w:val="none"/>
        </w:rPr>
        <w:t>互联网孵化与创新</w:t>
      </w:r>
      <w:r>
        <w:rPr>
          <w:rFonts w:hint="eastAsia" w:ascii="Calibri" w:hAnsi="Calibri"/>
          <w:color w:val="auto"/>
          <w:highlight w:val="none"/>
        </w:rPr>
        <w:t>，</w:t>
      </w:r>
      <w:r>
        <w:rPr>
          <w:rFonts w:ascii="Calibri" w:hAnsi="Calibri"/>
          <w:color w:val="auto"/>
          <w:highlight w:val="none"/>
        </w:rPr>
        <w:t>大学生在线实训</w:t>
      </w:r>
      <w:r>
        <w:rPr>
          <w:rFonts w:hint="eastAsia" w:ascii="Calibri" w:hAnsi="Calibri"/>
          <w:color w:val="auto"/>
          <w:highlight w:val="none"/>
        </w:rPr>
        <w:t>，</w:t>
      </w:r>
      <w:r>
        <w:rPr>
          <w:rFonts w:ascii="Calibri" w:hAnsi="Calibri"/>
          <w:color w:val="auto"/>
          <w:highlight w:val="none"/>
        </w:rPr>
        <w:t>互联网与校工厂</w:t>
      </w:r>
      <w:r>
        <w:rPr>
          <w:rFonts w:hint="eastAsia" w:ascii="Calibri" w:hAnsi="Calibri"/>
          <w:color w:val="auto"/>
          <w:highlight w:val="none"/>
        </w:rPr>
        <w:t>、</w:t>
      </w:r>
      <w:r>
        <w:rPr>
          <w:rFonts w:ascii="Calibri" w:hAnsi="Calibri"/>
          <w:color w:val="auto"/>
          <w:highlight w:val="none"/>
        </w:rPr>
        <w:t>互联网与工作室，</w:t>
      </w:r>
      <w:r>
        <w:rPr>
          <w:rFonts w:hint="eastAsia" w:ascii="Calibri" w:hAnsi="Calibri"/>
          <w:color w:val="auto"/>
          <w:highlight w:val="none"/>
        </w:rPr>
        <w:t>通过互联网生存技能的知识学习</w:t>
      </w:r>
      <w:r>
        <w:rPr>
          <w:rFonts w:ascii="Calibri" w:hAnsi="Calibri"/>
          <w:color w:val="auto"/>
          <w:highlight w:val="none"/>
        </w:rPr>
        <w:t>和实践积累，</w:t>
      </w:r>
      <w:r>
        <w:rPr>
          <w:rFonts w:hint="eastAsia" w:ascii="Calibri" w:hAnsi="Calibri"/>
          <w:color w:val="auto"/>
          <w:highlight w:val="none"/>
        </w:rPr>
        <w:t>真正能够用自己的头脑来思考</w:t>
      </w:r>
      <w:r>
        <w:rPr>
          <w:rFonts w:ascii="Calibri" w:hAnsi="Calibri"/>
          <w:color w:val="auto"/>
          <w:highlight w:val="none"/>
        </w:rPr>
        <w:t>互联环境下的生存与发展</w:t>
      </w:r>
      <w:r>
        <w:rPr>
          <w:rFonts w:hint="eastAsia" w:ascii="Calibri" w:hAnsi="Calibri"/>
          <w:color w:val="auto"/>
          <w:highlight w:val="none"/>
        </w:rPr>
        <w:t>。</w:t>
      </w:r>
    </w:p>
    <w:p>
      <w:pPr>
        <w:snapToGrid w:val="0"/>
        <w:ind w:firstLine="241" w:firstLineChars="100"/>
        <w:rPr>
          <w:rFonts w:ascii="Calibri" w:hAnsi="Calibri"/>
          <w:b/>
          <w:bCs/>
          <w:color w:val="auto"/>
          <w:highlight w:val="none"/>
        </w:rPr>
      </w:pPr>
      <w:r>
        <w:rPr>
          <w:rFonts w:ascii="Calibri" w:hAnsi="Calibri"/>
          <w:b/>
          <w:bCs/>
          <w:color w:val="auto"/>
          <w:highlight w:val="none"/>
        </w:rPr>
        <w:t>（</w:t>
      </w:r>
      <w:r>
        <w:rPr>
          <w:rFonts w:hint="eastAsia" w:ascii="Calibri" w:hAnsi="Calibri"/>
          <w:b/>
          <w:bCs/>
          <w:color w:val="auto"/>
          <w:highlight w:val="none"/>
        </w:rPr>
        <w:t>4</w:t>
      </w:r>
      <w:r>
        <w:rPr>
          <w:rFonts w:ascii="Calibri" w:hAnsi="Calibri"/>
          <w:b/>
          <w:bCs/>
          <w:color w:val="auto"/>
          <w:highlight w:val="none"/>
        </w:rPr>
        <w:t>）</w:t>
      </w:r>
      <w:r>
        <w:rPr>
          <w:rFonts w:hint="eastAsia" w:ascii="Calibri" w:hAnsi="Calibri"/>
          <w:b/>
          <w:bCs/>
          <w:color w:val="auto"/>
          <w:highlight w:val="none"/>
        </w:rPr>
        <w:t>课程名称：商务办公软件高级应用</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通过课程的学习,使学生学会使用常用办公软件、常用办公设备的使用.熟悉日常办公中的各种场景及办公软件在工作中的应用.为以后进入职场打下基础.</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课程通过讲解10项典型的工作任务,引导学习者学会使用Word、Excel、PPT、PS、Audition、Camtasia等软件的使用方法，并特别推出拓展技能训练模块，对所学知识进行巩固提高。</w:t>
      </w:r>
    </w:p>
    <w:p>
      <w:pPr>
        <w:ind w:firstLine="482"/>
        <w:rPr>
          <w:rFonts w:ascii="Calibri" w:hAnsi="Calibri"/>
          <w:b/>
          <w:bCs/>
          <w:color w:val="auto"/>
          <w:highlight w:val="none"/>
        </w:rPr>
      </w:pPr>
      <w:r>
        <w:rPr>
          <w:rFonts w:hint="eastAsia" w:ascii="Calibri" w:hAnsi="Calibri"/>
          <w:b/>
          <w:bCs/>
          <w:color w:val="auto"/>
          <w:highlight w:val="none"/>
        </w:rPr>
        <w:t>（5）课程名称：数字化营销</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培养学生</w:t>
      </w:r>
      <w:r>
        <w:rPr>
          <w:rFonts w:ascii="Calibri" w:hAnsi="Calibri"/>
          <w:color w:val="auto"/>
          <w:highlight w:val="none"/>
        </w:rPr>
        <w:t>数字化营销</w:t>
      </w:r>
      <w:r>
        <w:rPr>
          <w:rFonts w:hint="eastAsia" w:ascii="Calibri" w:hAnsi="Calibri"/>
          <w:color w:val="auto"/>
          <w:highlight w:val="none"/>
        </w:rPr>
        <w:t>的实际运用能力，从事网站策划、搜索引擎营销、数字广告等基本</w:t>
      </w:r>
      <w:r>
        <w:rPr>
          <w:rFonts w:ascii="Calibri" w:hAnsi="Calibri"/>
          <w:color w:val="auto"/>
          <w:highlight w:val="none"/>
        </w:rPr>
        <w:t>数字化营销</w:t>
      </w:r>
      <w:r>
        <w:rPr>
          <w:rFonts w:hint="eastAsia" w:ascii="Calibri" w:hAnsi="Calibri"/>
          <w:color w:val="auto"/>
          <w:highlight w:val="none"/>
        </w:rPr>
        <w:t>工作的能力，培养学生具有</w:t>
      </w:r>
      <w:r>
        <w:rPr>
          <w:rFonts w:ascii="Calibri" w:hAnsi="Calibri"/>
          <w:color w:val="auto"/>
          <w:highlight w:val="none"/>
        </w:rPr>
        <w:t>数字化营销</w:t>
      </w:r>
      <w:r>
        <w:rPr>
          <w:rFonts w:hint="eastAsia" w:ascii="Calibri" w:hAnsi="Calibri"/>
          <w:color w:val="auto"/>
          <w:highlight w:val="none"/>
        </w:rPr>
        <w:t>策略制定和</w:t>
      </w:r>
      <w:r>
        <w:rPr>
          <w:rFonts w:ascii="Calibri" w:hAnsi="Calibri"/>
          <w:color w:val="auto"/>
          <w:highlight w:val="none"/>
        </w:rPr>
        <w:t>数字化营销</w:t>
      </w:r>
      <w:r>
        <w:rPr>
          <w:rFonts w:hint="eastAsia" w:ascii="Calibri" w:hAnsi="Calibri"/>
          <w:color w:val="auto"/>
          <w:highlight w:val="none"/>
        </w:rPr>
        <w:t>组织管理工作能力。</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使学生从互联网技术、</w:t>
      </w:r>
      <w:r>
        <w:rPr>
          <w:rFonts w:ascii="Calibri" w:hAnsi="Calibri"/>
          <w:color w:val="auto"/>
          <w:highlight w:val="none"/>
        </w:rPr>
        <w:t>数字化营销</w:t>
      </w:r>
      <w:r>
        <w:rPr>
          <w:rFonts w:hint="eastAsia" w:ascii="Calibri" w:hAnsi="Calibri"/>
          <w:color w:val="auto"/>
          <w:highlight w:val="none"/>
        </w:rPr>
        <w:t>和信息管理等多课程的角度，了解和掌握</w:t>
      </w:r>
      <w:r>
        <w:rPr>
          <w:rFonts w:ascii="Calibri" w:hAnsi="Calibri"/>
          <w:color w:val="auto"/>
          <w:highlight w:val="none"/>
        </w:rPr>
        <w:t>数字化营销</w:t>
      </w:r>
      <w:r>
        <w:rPr>
          <w:rFonts w:hint="eastAsia" w:ascii="Calibri" w:hAnsi="Calibri"/>
          <w:color w:val="auto"/>
          <w:highlight w:val="none"/>
        </w:rPr>
        <w:t>以及其</w:t>
      </w:r>
      <w:r>
        <w:rPr>
          <w:rFonts w:ascii="Calibri" w:hAnsi="Calibri"/>
          <w:color w:val="auto"/>
          <w:highlight w:val="none"/>
        </w:rPr>
        <w:t>数字化营销</w:t>
      </w:r>
      <w:r>
        <w:rPr>
          <w:rFonts w:hint="eastAsia" w:ascii="Calibri" w:hAnsi="Calibri"/>
          <w:color w:val="auto"/>
          <w:highlight w:val="none"/>
        </w:rPr>
        <w:t>环境的基本理论和核心内容，掌握企业和网络消费者的购销行为，进行网络促销的策划的基本思路与发布的基本原则，以及</w:t>
      </w:r>
      <w:r>
        <w:rPr>
          <w:rFonts w:ascii="Calibri" w:hAnsi="Calibri"/>
          <w:color w:val="auto"/>
          <w:highlight w:val="none"/>
        </w:rPr>
        <w:t>数字化营销</w:t>
      </w:r>
      <w:r>
        <w:rPr>
          <w:rFonts w:hint="eastAsia" w:ascii="Calibri" w:hAnsi="Calibri"/>
          <w:color w:val="auto"/>
          <w:highlight w:val="none"/>
        </w:rPr>
        <w:t>的新的方法方式。</w:t>
      </w:r>
    </w:p>
    <w:p>
      <w:pPr>
        <w:snapToGrid w:val="0"/>
        <w:ind w:firstLine="482"/>
        <w:rPr>
          <w:rFonts w:ascii="Calibri" w:hAnsi="Calibri"/>
          <w:b/>
          <w:bCs/>
          <w:color w:val="auto"/>
          <w:highlight w:val="none"/>
        </w:rPr>
      </w:pPr>
      <w:r>
        <w:rPr>
          <w:rFonts w:hint="eastAsia" w:ascii="Calibri" w:hAnsi="Calibri"/>
          <w:b/>
          <w:bCs/>
          <w:color w:val="auto"/>
          <w:highlight w:val="none"/>
        </w:rPr>
        <w:t>（</w:t>
      </w:r>
      <w:r>
        <w:rPr>
          <w:rFonts w:ascii="Calibri" w:hAnsi="Calibri"/>
          <w:b/>
          <w:bCs/>
          <w:color w:val="auto"/>
          <w:highlight w:val="none"/>
        </w:rPr>
        <w:t>6</w:t>
      </w:r>
      <w:r>
        <w:rPr>
          <w:rFonts w:hint="eastAsia" w:ascii="Calibri" w:hAnsi="Calibri"/>
          <w:b/>
          <w:bCs/>
          <w:color w:val="auto"/>
          <w:highlight w:val="none"/>
        </w:rPr>
        <w:t>）课程名称：网络编程</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引领学习者探寻程序设计的前世今生，拓展学生的思维及眼界；构筑计算思维模式下的实践与创新能力，培养学生使用计算机解决本专业领域问题的能力；</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该课程可以作为对电商运营的基础课程，以提高学习者计算思维能力为导向，以培养学习者编程能力为目标，通过多元算法、程序重构等方法引导学生者理解计算的实现机制，对学生自己专业知识的学习有一定的支撑和促进作用。</w:t>
      </w:r>
    </w:p>
    <w:p>
      <w:pPr>
        <w:ind w:firstLine="482"/>
        <w:rPr>
          <w:rFonts w:ascii="Calibri" w:hAnsi="Calibri"/>
          <w:b/>
          <w:bCs/>
          <w:color w:val="auto"/>
          <w:highlight w:val="none"/>
        </w:rPr>
      </w:pPr>
      <w:r>
        <w:rPr>
          <w:rFonts w:hint="eastAsia" w:ascii="Calibri" w:hAnsi="Calibri"/>
          <w:b/>
          <w:bCs/>
          <w:color w:val="auto"/>
          <w:highlight w:val="none"/>
        </w:rPr>
        <w:t>2．专业核心课程</w:t>
      </w:r>
    </w:p>
    <w:p>
      <w:pPr>
        <w:ind w:firstLine="480"/>
        <w:rPr>
          <w:rFonts w:ascii="黑体" w:eastAsia="黑体"/>
          <w:bCs/>
          <w:color w:val="auto"/>
          <w:sz w:val="28"/>
          <w:szCs w:val="28"/>
          <w:highlight w:val="none"/>
        </w:rPr>
      </w:pPr>
      <w:r>
        <w:rPr>
          <w:rFonts w:hint="eastAsia" w:ascii="Calibri" w:hAnsi="Calibri"/>
          <w:color w:val="auto"/>
          <w:highlight w:val="none"/>
        </w:rPr>
        <w:t>专业核心课程6门包括电商运营基础、网店美工实训/项目实战训练、</w:t>
      </w:r>
      <w:r>
        <w:rPr>
          <w:rFonts w:hint="eastAsia" w:ascii="Calibri" w:hAnsi="Calibri"/>
          <w:color w:val="auto"/>
          <w:highlight w:val="none"/>
          <w:lang w:eastAsia="zh-CN"/>
        </w:rPr>
        <w:t>数据化运营</w:t>
      </w:r>
      <w:r>
        <w:rPr>
          <w:rFonts w:hint="eastAsia" w:ascii="Calibri" w:hAnsi="Calibri"/>
          <w:color w:val="auto"/>
          <w:highlight w:val="none"/>
        </w:rPr>
        <w:t>、移动电子商务、内容营销、顶岗实习。</w:t>
      </w:r>
    </w:p>
    <w:p>
      <w:pPr>
        <w:ind w:firstLine="482"/>
        <w:rPr>
          <w:rFonts w:ascii="Calibri" w:hAnsi="Calibri"/>
          <w:b/>
          <w:bCs/>
          <w:color w:val="auto"/>
          <w:highlight w:val="none"/>
        </w:rPr>
      </w:pPr>
      <w:r>
        <w:rPr>
          <w:rFonts w:hint="eastAsia" w:ascii="Calibri" w:hAnsi="Calibri"/>
          <w:b/>
          <w:bCs/>
          <w:color w:val="auto"/>
          <w:highlight w:val="none"/>
        </w:rPr>
        <w:t>（1）课程名称：电商运营基础</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承接《专业导论》课程，熟悉电子商务行业发展现状、趋势、商业模式、应用领域等知识，熟悉内贸电商、</w:t>
      </w:r>
      <w:r>
        <w:rPr>
          <w:rFonts w:ascii="Calibri" w:hAnsi="Calibri"/>
          <w:color w:val="auto"/>
          <w:highlight w:val="none"/>
        </w:rPr>
        <w:t>具备</w:t>
      </w:r>
      <w:r>
        <w:rPr>
          <w:rFonts w:hint="eastAsia" w:ascii="Calibri" w:hAnsi="Calibri"/>
          <w:color w:val="auto"/>
          <w:highlight w:val="none"/>
        </w:rPr>
        <w:t>网络支付应用与安全防范</w:t>
      </w:r>
      <w:r>
        <w:rPr>
          <w:rFonts w:ascii="Calibri" w:hAnsi="Calibri"/>
          <w:color w:val="auto"/>
          <w:highlight w:val="none"/>
        </w:rPr>
        <w:t>能力</w:t>
      </w:r>
      <w:r>
        <w:rPr>
          <w:rFonts w:hint="eastAsia" w:ascii="Calibri" w:hAnsi="Calibri"/>
          <w:color w:val="auto"/>
          <w:highlight w:val="none"/>
        </w:rPr>
        <w:t>、</w:t>
      </w:r>
      <w:r>
        <w:rPr>
          <w:rFonts w:ascii="Calibri" w:hAnsi="Calibri"/>
          <w:color w:val="auto"/>
          <w:highlight w:val="none"/>
        </w:rPr>
        <w:t>培养</w:t>
      </w:r>
      <w:r>
        <w:rPr>
          <w:rFonts w:hint="eastAsia" w:ascii="Calibri" w:hAnsi="Calibri"/>
          <w:color w:val="auto"/>
          <w:highlight w:val="none"/>
        </w:rPr>
        <w:t>电子商务职业与创业等知识，具备一定的互联网和开创性思维</w:t>
      </w:r>
      <w:r>
        <w:rPr>
          <w:rFonts w:ascii="Calibri" w:hAnsi="Calibri"/>
          <w:color w:val="auto"/>
          <w:highlight w:val="none"/>
        </w:rPr>
        <w:t>能力</w:t>
      </w:r>
      <w:r>
        <w:rPr>
          <w:rFonts w:hint="eastAsia" w:ascii="Calibri" w:hAnsi="Calibri"/>
          <w:color w:val="auto"/>
          <w:highlight w:val="none"/>
        </w:rPr>
        <w:t>。</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学生看到通过理论学习，明确使学生在认识的范围内学习进一步强化专业知识，对电子商务有一定的了解，从纵向来看，要通过这门课程了解电子商务的过去、现在与未来，从横向来看要知道电子商务当前所用到的新技术、新理念，电子商务现在需要我们学什么，将来我们可以做什么。要让学生明白,电子商务是顺应经济发展和国际竞争需要的专业,是实践发展和理论研究有待深化的专业,一个新技术密集型专业,一个不断发展的专业,一个服务型和应用型的专业。</w:t>
      </w:r>
    </w:p>
    <w:p>
      <w:pPr>
        <w:ind w:firstLine="482"/>
        <w:rPr>
          <w:rFonts w:ascii="Calibri" w:hAnsi="Calibri"/>
          <w:b/>
          <w:bCs/>
          <w:color w:val="auto"/>
          <w:highlight w:val="none"/>
        </w:rPr>
      </w:pPr>
      <w:r>
        <w:rPr>
          <w:rFonts w:hint="eastAsia" w:ascii="Calibri" w:hAnsi="Calibri"/>
          <w:b/>
          <w:bCs/>
          <w:color w:val="auto"/>
          <w:highlight w:val="none"/>
        </w:rPr>
        <w:t>（2）课程名称：网店美工实训/项目实战训练</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培养学生具备网络页面的整体美工规划设计的能力，培养学生网络活动专题的版面策划设计以及制作的能力。</w:t>
      </w:r>
    </w:p>
    <w:p>
      <w:pPr>
        <w:snapToGrid w:val="0"/>
        <w:ind w:firstLine="482"/>
        <w:rPr>
          <w:rFonts w:ascii="Calibri" w:hAnsi="Calibri"/>
          <w:b/>
          <w:bCs/>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介绍网页设计涉及、网站开发的技术层面及工具，并提供了一些典型的网络实例；网页编辑软件Dreamweaver。以完整的网站为例，详细介绍了网站规划、各页面的设计和页面制作的具体过程，使学生能够综合运用所学知识设计、制作出精美的网页。</w:t>
      </w:r>
    </w:p>
    <w:p>
      <w:pPr>
        <w:ind w:firstLine="482"/>
        <w:rPr>
          <w:rFonts w:hint="eastAsia" w:ascii="Calibri" w:hAnsi="Calibri" w:eastAsia="宋体"/>
          <w:b/>
          <w:bCs/>
          <w:color w:val="auto"/>
          <w:highlight w:val="none"/>
          <w:lang w:eastAsia="zh-CN"/>
        </w:rPr>
      </w:pPr>
      <w:r>
        <w:rPr>
          <w:rFonts w:hint="eastAsia" w:ascii="Calibri" w:hAnsi="Calibri"/>
          <w:b/>
          <w:bCs/>
          <w:color w:val="auto"/>
          <w:highlight w:val="none"/>
        </w:rPr>
        <w:t>（3）课程名称：</w:t>
      </w:r>
      <w:r>
        <w:rPr>
          <w:rFonts w:hint="eastAsia" w:ascii="Calibri" w:hAnsi="Calibri"/>
          <w:b/>
          <w:bCs/>
          <w:color w:val="auto"/>
          <w:highlight w:val="none"/>
          <w:lang w:eastAsia="zh-CN"/>
        </w:rPr>
        <w:t>数据化运营</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同步与《客户关系管理》贯穿于体整体课程，属于综合素质和技能提高阶段，与第一阶段培养衔接，形成承上启下的综合课程，为后续课程提供强大的理论支持。培养学生的学生基本工艺理论与操作，以培养学生从调查方案设计、数据资料的收集、处理、分析到数据分析报告的撰写能力，学会运用相关数据处理工具进行数据分析的基本方法。 </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在大数据时代下，电商企业关注产品外，更需要关注数据背后所反映的问题,网站运营的数据,用户数据等等.针对电商企业对数据分析岗位的人才技能,本课程通过电商营销数据分析所涵盖的数据收集、挖掘和分析、报告及应用的完整数据分析知识，涵盖了个人知识技能以及真实电商的分析和应用案例，</w:t>
      </w:r>
      <w:r>
        <w:rPr>
          <w:rFonts w:ascii="Calibri" w:hAnsi="Calibri"/>
          <w:color w:val="auto"/>
          <w:highlight w:val="none"/>
        </w:rPr>
        <w:t>使</w:t>
      </w:r>
      <w:r>
        <w:rPr>
          <w:rFonts w:hint="eastAsia" w:ascii="Calibri" w:hAnsi="Calibri"/>
          <w:color w:val="auto"/>
          <w:highlight w:val="none"/>
        </w:rPr>
        <w:t>学生掌握电子商务数据分析的基本知识和应用技能。培养学生完整数据分析的理念与运用相关数据处理工具进行数据分析的能力， </w:t>
      </w:r>
      <w:r>
        <w:rPr>
          <w:rFonts w:hint="eastAsia" w:ascii="宋体" w:hAnsi="宋体" w:cs="宋体"/>
          <w:color w:val="auto"/>
          <w:highlight w:val="none"/>
        </w:rPr>
        <w:t>为学生从事大数据应用技术相关岗位工作打下良好的基础</w:t>
      </w:r>
      <w:r>
        <w:rPr>
          <w:rFonts w:hint="eastAsia" w:ascii="Calibri" w:hAnsi="Calibri"/>
          <w:color w:val="auto"/>
          <w:highlight w:val="none"/>
        </w:rPr>
        <w:t>。</w:t>
      </w:r>
    </w:p>
    <w:p>
      <w:pPr>
        <w:ind w:firstLine="482"/>
        <w:rPr>
          <w:rFonts w:ascii="Calibri" w:hAnsi="Calibri"/>
          <w:b/>
          <w:bCs/>
          <w:color w:val="auto"/>
          <w:highlight w:val="none"/>
        </w:rPr>
      </w:pPr>
      <w:r>
        <w:rPr>
          <w:rFonts w:hint="eastAsia" w:ascii="Calibri" w:hAnsi="Calibri"/>
          <w:b/>
          <w:bCs/>
          <w:color w:val="auto"/>
          <w:highlight w:val="none"/>
        </w:rPr>
        <w:t>（4）课程名称：移动电子商务</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承接《电商实战》《客户关系管理》《</w:t>
      </w:r>
      <w:r>
        <w:rPr>
          <w:rFonts w:hint="eastAsia" w:ascii="Calibri" w:hAnsi="Calibri"/>
          <w:color w:val="auto"/>
          <w:highlight w:val="none"/>
          <w:lang w:eastAsia="zh-CN"/>
        </w:rPr>
        <w:t>数据化运营</w:t>
      </w:r>
      <w:r>
        <w:rPr>
          <w:rFonts w:hint="eastAsia" w:ascii="Calibri" w:hAnsi="Calibri"/>
          <w:color w:val="auto"/>
          <w:highlight w:val="none"/>
        </w:rPr>
        <w:t>》课程牢固基础知识，提高应用，通过本课程的学习，学生能够学会掌握移动商务体系及技术，为学生拓展新的商务移动终端，将当下移动端与电子商务进行知识融合，多维度、多空间、多终端的电子商务实际应用知识培养。从而使学生的移动电商思维和移动电子商务应用能力。</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将之前所学生所学所会知识融入到新的领域，主要介绍包括移动电子商务概述、移动商务运营岗位的基本要求、移动商务运营体系建设、移动电子商务产品策划、移动电子商务用户行为数据监测、移动电子商务的内容管理与维护、移动电子商务视觉营销管理、移动电子商务营销管理、移动电子商务活动策划与推广。通过学习，学生应了解移动电子商务体系结构及主要技术，熟悉移动电商平台与管理，能够进行数据分析，进行情景、支付、社区等应用。</w:t>
      </w:r>
    </w:p>
    <w:p>
      <w:pPr>
        <w:ind w:firstLine="482"/>
        <w:rPr>
          <w:rFonts w:ascii="Calibri" w:hAnsi="Calibri"/>
          <w:b/>
          <w:bCs/>
          <w:color w:val="auto"/>
          <w:highlight w:val="none"/>
        </w:rPr>
      </w:pPr>
      <w:r>
        <w:rPr>
          <w:rFonts w:hint="eastAsia" w:ascii="Calibri" w:hAnsi="Calibri"/>
          <w:b/>
          <w:bCs/>
          <w:color w:val="auto"/>
          <w:highlight w:val="none"/>
        </w:rPr>
        <w:t>（5）课程名称：</w:t>
      </w:r>
      <w:r>
        <w:rPr>
          <w:rFonts w:hint="eastAsia" w:ascii="Calibri" w:hAnsi="Calibri"/>
          <w:b/>
          <w:bCs/>
          <w:color w:val="auto"/>
          <w:highlight w:val="none"/>
          <w:lang w:eastAsia="zh-CN"/>
        </w:rPr>
        <w:t>电商</w:t>
      </w:r>
      <w:r>
        <w:rPr>
          <w:rFonts w:hint="eastAsia" w:ascii="Calibri" w:hAnsi="Calibri"/>
          <w:b/>
          <w:bCs/>
          <w:color w:val="auto"/>
          <w:highlight w:val="none"/>
        </w:rPr>
        <w:t>内容营销</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以运营基础结合综合技能，依托《</w:t>
      </w:r>
      <w:r>
        <w:rPr>
          <w:rFonts w:ascii="Calibri" w:hAnsi="Calibri"/>
          <w:color w:val="auto"/>
          <w:highlight w:val="none"/>
        </w:rPr>
        <w:t>数字化营销</w:t>
      </w:r>
      <w:r>
        <w:rPr>
          <w:rFonts w:hint="eastAsia" w:ascii="Calibri" w:hAnsi="Calibri"/>
          <w:color w:val="auto"/>
          <w:highlight w:val="none"/>
        </w:rPr>
        <w:t>》《PS图像处理》《网络商品拍摄与后期》《网络文案编辑》基础课程，拓展《客户关系管理》《移动电子商务》《</w:t>
      </w:r>
      <w:r>
        <w:rPr>
          <w:rFonts w:hint="eastAsia" w:ascii="Calibri" w:hAnsi="Calibri"/>
          <w:color w:val="auto"/>
          <w:highlight w:val="none"/>
          <w:lang w:eastAsia="zh-CN"/>
        </w:rPr>
        <w:t>数据化运营</w:t>
      </w:r>
      <w:r>
        <w:rPr>
          <w:rFonts w:hint="eastAsia" w:ascii="Calibri" w:hAnsi="Calibri"/>
          <w:color w:val="auto"/>
          <w:highlight w:val="none"/>
        </w:rPr>
        <w:t>》《网店美工设计》《新媒体营销》《</w:t>
      </w:r>
      <w:r>
        <w:rPr>
          <w:rFonts w:ascii="Calibri" w:hAnsi="Calibri"/>
          <w:color w:val="auto"/>
          <w:highlight w:val="none"/>
        </w:rPr>
        <w:t>视频编辑制作与营销</w:t>
      </w:r>
      <w:r>
        <w:rPr>
          <w:rFonts w:hint="eastAsia" w:ascii="Calibri" w:hAnsi="Calibri"/>
          <w:color w:val="auto"/>
          <w:highlight w:val="none"/>
        </w:rPr>
        <w:t>》等知识技能课程，学生新互联网时代下不需要做广告或做推销就能使客户获得信息、了解信息、并促进信息交流的营销方式。</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内容包括从用户遇到的问题出发，了解用户遇到了什么问题，给用户提供解决方案，考虑给用户带来什么利益，把自有媒体变成品类的入口，用内容吸引用户，吸引让用户到企业的自有平台上来，让用户主动获取信息，刺激用户分享与传播。</w:t>
      </w:r>
    </w:p>
    <w:p>
      <w:pPr>
        <w:ind w:firstLine="482"/>
        <w:rPr>
          <w:rFonts w:ascii="Calibri" w:hAnsi="Calibri"/>
          <w:b/>
          <w:bCs/>
          <w:color w:val="auto"/>
          <w:highlight w:val="none"/>
        </w:rPr>
      </w:pPr>
      <w:r>
        <w:rPr>
          <w:rFonts w:hint="eastAsia" w:ascii="Calibri" w:hAnsi="Calibri"/>
          <w:b/>
          <w:bCs/>
          <w:color w:val="auto"/>
          <w:highlight w:val="none"/>
        </w:rPr>
        <w:t>（6）课程名称：顶岗实习</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通过顶岗实习构建校企共同指导、共同管理、合作育人的顶岗实习工作机制，培养学生深入理解电子商务专业的专业技能和专用知识，能适应电子商务专业岗位要求，从而具备真实的工作经验和工作技能，增加其职业道德和职业素质。</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通过顶岗实习，构建校企共同指导、共同管理、合作育人的顶岗实习工作机制，使学生深入理解电子商务专业的专业技能和专门知识，能适应电子商务专业岗位要求，从而具有真实的工作经验和工作技能，增加其职业道德和职业素质。</w:t>
      </w:r>
    </w:p>
    <w:p>
      <w:pPr>
        <w:ind w:firstLine="482"/>
        <w:rPr>
          <w:rFonts w:ascii="Calibri" w:hAnsi="Calibri"/>
          <w:b/>
          <w:bCs/>
          <w:color w:val="auto"/>
          <w:highlight w:val="none"/>
        </w:rPr>
      </w:pPr>
      <w:r>
        <w:rPr>
          <w:rFonts w:hint="eastAsia" w:ascii="Calibri" w:hAnsi="Calibri"/>
          <w:b/>
          <w:bCs/>
          <w:color w:val="auto"/>
          <w:highlight w:val="none"/>
        </w:rPr>
        <w:t>3．专业方向课程</w:t>
      </w:r>
    </w:p>
    <w:p>
      <w:pPr>
        <w:ind w:firstLine="480"/>
        <w:rPr>
          <w:rFonts w:ascii="Calibri" w:hAnsi="Calibri"/>
          <w:color w:val="auto"/>
          <w:highlight w:val="none"/>
        </w:rPr>
      </w:pPr>
      <w:r>
        <w:rPr>
          <w:rFonts w:hint="eastAsia" w:ascii="Calibri" w:hAnsi="Calibri"/>
          <w:color w:val="auto"/>
          <w:highlight w:val="none"/>
        </w:rPr>
        <w:t>专业方向课程12门包括：网络商品拍摄与后期、网络文案编辑、电商运营实训/项目实战训练、客户关系管理、新媒体营销、电商实战、电商企业职业技能培训/项目实战训练、视频编辑制作与营销、电商视觉营销、电商运营实战、大学生创业指导、毕业论文。</w:t>
      </w:r>
    </w:p>
    <w:p>
      <w:pPr>
        <w:ind w:firstLine="482"/>
        <w:rPr>
          <w:rFonts w:ascii="Calibri" w:hAnsi="Calibri"/>
          <w:b/>
          <w:bCs/>
          <w:color w:val="auto"/>
          <w:highlight w:val="none"/>
        </w:rPr>
      </w:pPr>
      <w:r>
        <w:rPr>
          <w:rFonts w:hint="eastAsia" w:ascii="Calibri" w:hAnsi="Calibri"/>
          <w:b/>
          <w:bCs/>
          <w:color w:val="auto"/>
          <w:highlight w:val="none"/>
        </w:rPr>
        <w:t>（1）课程名称：网络商品拍摄与后期</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使学生能掌握拍摄的基本技能，让学生能够更好的展现自己所拍摄的产品，让电子商务营销达到意想不到的效果，为提高学生一专多能，多岗位技应用。</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图片网络商品是电商展示的基础，了解电商拍摄器材以及相关附件的选购，使学生影棚灯光的配备与调节和摄影附件的选择与功能，以及效果实例演示，相机和镜头搭配的技巧与拍摄中常用的几种构图和角度。了解如何搭建拍摄实景以及选择合适的道具。模特拍摄的布光技巧以及案例演示和模特外景拍摄的光线掌握以及风格搭配。</w:t>
      </w:r>
    </w:p>
    <w:p>
      <w:pPr>
        <w:ind w:firstLine="482"/>
        <w:rPr>
          <w:rFonts w:ascii="Calibri" w:hAnsi="Calibri"/>
          <w:b/>
          <w:bCs/>
          <w:color w:val="auto"/>
          <w:highlight w:val="none"/>
        </w:rPr>
      </w:pPr>
      <w:r>
        <w:rPr>
          <w:rFonts w:hint="eastAsia" w:ascii="Calibri" w:hAnsi="Calibri"/>
          <w:b/>
          <w:bCs/>
          <w:color w:val="auto"/>
          <w:highlight w:val="none"/>
        </w:rPr>
        <w:t>（2）课程名称：网络文案编辑</w:t>
      </w:r>
    </w:p>
    <w:p>
      <w:pPr>
        <w:ind w:firstLine="482"/>
        <w:jc w:val="left"/>
        <w:rPr>
          <w:rFonts w:ascii="Calibri" w:hAnsi="Calibri"/>
          <w:color w:val="auto"/>
          <w:highlight w:val="none"/>
        </w:rPr>
      </w:pPr>
      <w:r>
        <w:rPr>
          <w:rFonts w:hint="eastAsia"/>
          <w:b/>
          <w:bCs/>
          <w:color w:val="auto"/>
          <w:highlight w:val="none"/>
        </w:rPr>
        <w:t>课程目标：</w:t>
      </w:r>
      <w:r>
        <w:rPr>
          <w:rFonts w:hint="eastAsia"/>
          <w:color w:val="auto"/>
          <w:highlight w:val="none"/>
        </w:rPr>
        <w:t>使学生掌握</w:t>
      </w:r>
      <w:r>
        <w:rPr>
          <w:rFonts w:hint="eastAsia"/>
          <w:color w:val="auto"/>
          <w:szCs w:val="21"/>
          <w:highlight w:val="none"/>
        </w:rPr>
        <w:t>电商文案写作手法</w:t>
      </w:r>
      <w:r>
        <w:rPr>
          <w:rFonts w:hint="eastAsia"/>
          <w:color w:val="auto"/>
          <w:highlight w:val="none"/>
        </w:rPr>
        <w:t>，了解电商文案营销的思维方法，培养学生运用社会化媒体进行信息收集与整理、客户服务与沟通的能力。</w:t>
      </w:r>
    </w:p>
    <w:p>
      <w:pPr>
        <w:ind w:firstLine="482"/>
        <w:rPr>
          <w:rFonts w:ascii="Calibri" w:hAnsi="Calibri"/>
          <w:color w:val="auto"/>
          <w:highlight w:val="none"/>
        </w:rPr>
      </w:pPr>
      <w:r>
        <w:rPr>
          <w:rFonts w:hint="eastAsia" w:ascii="Calibri" w:hAnsi="Calibri"/>
          <w:b/>
          <w:bCs/>
          <w:color w:val="auto"/>
          <w:highlight w:val="none"/>
        </w:rPr>
        <w:t>主要教学内容及学习要求</w:t>
      </w:r>
      <w:r>
        <w:rPr>
          <w:rFonts w:hint="eastAsia"/>
          <w:b/>
          <w:bCs/>
          <w:color w:val="auto"/>
          <w:szCs w:val="21"/>
          <w:highlight w:val="none"/>
        </w:rPr>
        <w:t>：</w:t>
      </w:r>
      <w:r>
        <w:rPr>
          <w:rFonts w:hint="eastAsia"/>
          <w:color w:val="auto"/>
          <w:szCs w:val="21"/>
          <w:highlight w:val="none"/>
        </w:rPr>
        <w:t>通过本门课程的学习，使学生了解电商文案写作的基本概念和用途。使学生掌握各主要类别商务文案的基本写法，并系统地掌握电子商务营销活动，整体策划的综合能力，提高学生的电商文案写作专业素质。</w:t>
      </w:r>
    </w:p>
    <w:p>
      <w:pPr>
        <w:ind w:firstLine="482"/>
        <w:rPr>
          <w:rFonts w:ascii="Calibri" w:hAnsi="Calibri"/>
          <w:b/>
          <w:bCs/>
          <w:color w:val="auto"/>
          <w:highlight w:val="none"/>
        </w:rPr>
      </w:pPr>
      <w:r>
        <w:rPr>
          <w:rFonts w:hint="eastAsia" w:ascii="Calibri" w:hAnsi="Calibri"/>
          <w:b/>
          <w:bCs/>
          <w:color w:val="auto"/>
          <w:highlight w:val="none"/>
        </w:rPr>
        <w:t>（3）课程名称：电商运营实训/项目实战训练</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使学生了解电子商务基本岗位职责与操作技能，将理论课程在实训中强化学生一专多能，培养学生利用电商平台进行运营管理的能力，同时培养学生与人沟通和交流的能力。</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电商概述、网络购物与网店设立、网店日常运营管理、电子(网上)支付工具使用、网店商品处理、网店推广、物流与配送等内容。使学生了解电商行业发展概况；会利用不同网络平台如天猫、京东等开设网店，熟悉日常经营管理和各种工具的使用；熟悉并会利用各种</w:t>
      </w:r>
      <w:r>
        <w:rPr>
          <w:rFonts w:ascii="Calibri" w:hAnsi="Calibri"/>
          <w:color w:val="auto"/>
          <w:highlight w:val="none"/>
        </w:rPr>
        <w:t>数字化营销</w:t>
      </w:r>
      <w:r>
        <w:rPr>
          <w:rFonts w:hint="eastAsia" w:ascii="Calibri" w:hAnsi="Calibri"/>
          <w:color w:val="auto"/>
          <w:highlight w:val="none"/>
        </w:rPr>
        <w:t>手段进行网店及产品推广。</w:t>
      </w:r>
    </w:p>
    <w:p>
      <w:pPr>
        <w:ind w:firstLine="482"/>
        <w:rPr>
          <w:rFonts w:ascii="Calibri" w:hAnsi="Calibri"/>
          <w:b/>
          <w:bCs/>
          <w:color w:val="auto"/>
          <w:highlight w:val="none"/>
        </w:rPr>
      </w:pPr>
      <w:r>
        <w:rPr>
          <w:rFonts w:hint="eastAsia" w:ascii="Calibri" w:hAnsi="Calibri"/>
          <w:b/>
          <w:bCs/>
          <w:color w:val="auto"/>
          <w:highlight w:val="none"/>
        </w:rPr>
        <w:t>（4）课程名称：客户关系管理</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通过第1阶段的《专业导论》《电商运营基础》《电商运营实训》等课程的学习，通过“看”“学”“练”增加核心知识注入，使学生理解CRM产生的原因及条件；掌握企业CRM战略的制定与实施方法，理解商务智能的基本知识，具备对客户、客户关系的认识能力，具备分析和掌握客户价值的能力，具备使用CRM软件的系统操作能力，重视与正确对待客户资源，具备主动观察与自主分析问题的能力，积极建立并维护客户关系的能力，为《互联网生存技能》课程做完起点的理论和技能支撑。</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介绍客户需求分析、客户满意及忠诚的获取和评价，强调企业的一切活动应从客户需求出发，在客户生命周期全过程获取客户价值，提倡展现数据的力量，从收集客户信息，到对信息的整理，分析，深度挖掘，进而衍生出相应的客户知识及商业智能，指导企业的经营活动，以企业文化重塑为基础，进行营销、销售、服务的业务流程重组，进而实施整体战略。掌握客户关系管理知识，就掌握了企业经营管理的核心，为就业创业打下了坚实基础。</w:t>
      </w:r>
    </w:p>
    <w:p>
      <w:pPr>
        <w:ind w:firstLine="482"/>
        <w:rPr>
          <w:rFonts w:ascii="Calibri" w:hAnsi="Calibri"/>
          <w:b/>
          <w:bCs/>
          <w:color w:val="auto"/>
          <w:highlight w:val="none"/>
        </w:rPr>
      </w:pPr>
      <w:r>
        <w:rPr>
          <w:rFonts w:hint="eastAsia" w:ascii="Calibri" w:hAnsi="Calibri"/>
          <w:b/>
          <w:bCs/>
          <w:color w:val="auto"/>
          <w:highlight w:val="none"/>
        </w:rPr>
        <w:t>（5）课程名称：新媒体营销</w:t>
      </w:r>
    </w:p>
    <w:p>
      <w:pPr>
        <w:ind w:firstLine="482"/>
        <w:rPr>
          <w:color w:val="auto"/>
          <w:highlight w:val="none"/>
        </w:rPr>
      </w:pPr>
      <w:r>
        <w:rPr>
          <w:rFonts w:hint="eastAsia"/>
          <w:b/>
          <w:bCs/>
          <w:color w:val="auto"/>
          <w:highlight w:val="none"/>
        </w:rPr>
        <w:t>课程目标：</w:t>
      </w:r>
      <w:r>
        <w:rPr>
          <w:rFonts w:hint="eastAsia"/>
          <w:color w:val="auto"/>
          <w:highlight w:val="none"/>
        </w:rPr>
        <w:t>使学生掌握社会化媒体营销的基本操作流程，了解社会化媒体营销的思维方法，学会运用社会化媒体进行营销活动，培养学生运用社会化媒体进行信息收集与整理、客户服务与沟通、产品推广与活动策划的能力。</w:t>
      </w:r>
    </w:p>
    <w:p>
      <w:pPr>
        <w:ind w:firstLine="482"/>
        <w:rPr>
          <w:rFonts w:ascii="Calibri" w:hAnsi="Calibri"/>
          <w:color w:val="auto"/>
          <w:highlight w:val="none"/>
        </w:rPr>
      </w:pPr>
      <w:r>
        <w:rPr>
          <w:rFonts w:hint="eastAsia"/>
          <w:b/>
          <w:bCs/>
          <w:color w:val="auto"/>
          <w:szCs w:val="21"/>
          <w:highlight w:val="none"/>
        </w:rPr>
        <w:t>主要教学内容和学习要求</w:t>
      </w:r>
      <w:r>
        <w:rPr>
          <w:rFonts w:hint="eastAsia"/>
          <w:b/>
          <w:bCs/>
          <w:color w:val="auto"/>
          <w:highlight w:val="none"/>
        </w:rPr>
        <w:t>：</w:t>
      </w:r>
      <w:r>
        <w:rPr>
          <w:rFonts w:hint="eastAsia"/>
          <w:color w:val="auto"/>
          <w:highlight w:val="none"/>
        </w:rPr>
        <w:t>本课程主要学习社会化媒体营销的基本理论，社会化消费者的行为方式以及如何利用社会化媒体了解消费者进而进行营销活动；当今流行的社会化媒体工具的营销模式及应用。通过学习学生掌握微信、微博等社会化媒体平台的操作方法，及社会化媒体文案的写作方法。</w:t>
      </w:r>
    </w:p>
    <w:p>
      <w:pPr>
        <w:ind w:firstLine="482"/>
        <w:rPr>
          <w:rFonts w:ascii="Calibri" w:hAnsi="Calibri"/>
          <w:b/>
          <w:bCs/>
          <w:color w:val="auto"/>
          <w:highlight w:val="none"/>
        </w:rPr>
      </w:pPr>
      <w:r>
        <w:rPr>
          <w:rFonts w:hint="eastAsia"/>
          <w:b/>
          <w:bCs/>
          <w:color w:val="auto"/>
          <w:highlight w:val="none"/>
        </w:rPr>
        <w:t>（6）</w:t>
      </w:r>
      <w:r>
        <w:rPr>
          <w:rFonts w:hint="eastAsia" w:ascii="Calibri" w:hAnsi="Calibri"/>
          <w:b/>
          <w:bCs/>
          <w:color w:val="auto"/>
          <w:highlight w:val="none"/>
        </w:rPr>
        <w:t>课程名称：电商实战</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对学生所学专业基础课程实践检验，对《专业导论》《电商运营基础》综合课程融合进行产业、行业、专业实训，树立理论与实践相结合在教育内容上突显综合性、独特性，对不同基础课程进行综合整理梳理和阐述，并且把互联网电子商务发展和应用作为主线进行贯穿，以培养电商综合知识结构。</w:t>
      </w:r>
    </w:p>
    <w:p>
      <w:pPr>
        <w:ind w:firstLine="482"/>
        <w:rPr>
          <w:rFonts w:ascii="Calibri" w:hAnsi="Calibri"/>
          <w:b/>
          <w:bCs/>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熟练掌握当前电子商务活动中的问题及各种基础专业知识，通过实训的不同电子商务平台，也让学生</w:t>
      </w:r>
      <w:r>
        <w:rPr>
          <w:rFonts w:ascii="Calibri" w:hAnsi="Calibri"/>
          <w:color w:val="auto"/>
          <w:highlight w:val="none"/>
        </w:rPr>
        <w:t>熟悉</w:t>
      </w:r>
      <w:r>
        <w:rPr>
          <w:rFonts w:hint="eastAsia" w:ascii="Calibri" w:hAnsi="Calibri"/>
          <w:color w:val="auto"/>
          <w:highlight w:val="none"/>
        </w:rPr>
        <w:t>电子商务活动中任何一笔交易都是由九种基本的元素，即数据、视觉、平台、规则、工具、营销、资金、物流、商品所组成，将所看，所想，所会，基础应用到实际项目中进一步夯实基础。</w:t>
      </w:r>
    </w:p>
    <w:p>
      <w:pPr>
        <w:snapToGrid w:val="0"/>
        <w:ind w:firstLine="482"/>
        <w:rPr>
          <w:rFonts w:ascii="Calibri" w:hAnsi="Calibri"/>
          <w:b/>
          <w:bCs/>
          <w:color w:val="auto"/>
          <w:highlight w:val="none"/>
        </w:rPr>
      </w:pPr>
      <w:r>
        <w:rPr>
          <w:rFonts w:hint="eastAsia" w:ascii="Calibri" w:hAnsi="Calibri"/>
          <w:b/>
          <w:bCs/>
          <w:color w:val="auto"/>
          <w:highlight w:val="none"/>
        </w:rPr>
        <w:t>（7）课程名称：电商企业职业技能培训/项目实战训练</w:t>
      </w:r>
    </w:p>
    <w:p>
      <w:pPr>
        <w:snapToGrid w:val="0"/>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使学生了解职业与课堂的联系，培养学生强化技能训练，应对各类企业岗位职责，提升职业操作能力，培养学生爱岗敬业、吃苦耐劳、团结协作、恪尽职守、终生学习能力，强调一专多能职业能力训练。加入电子商务师的课程，使学生同时</w:t>
      </w:r>
      <w:r>
        <w:rPr>
          <w:rFonts w:ascii="Calibri" w:hAnsi="Calibri"/>
          <w:color w:val="auto"/>
          <w:highlight w:val="none"/>
        </w:rPr>
        <w:t>具备</w:t>
      </w:r>
      <w:r>
        <w:rPr>
          <w:rFonts w:hint="eastAsia" w:ascii="Calibri" w:hAnsi="Calibri"/>
          <w:color w:val="auto"/>
          <w:highlight w:val="none"/>
        </w:rPr>
        <w:t>考取电子商务师证书</w:t>
      </w:r>
      <w:r>
        <w:rPr>
          <w:rFonts w:ascii="Calibri" w:hAnsi="Calibri"/>
          <w:color w:val="auto"/>
          <w:highlight w:val="none"/>
        </w:rPr>
        <w:t>的能力</w:t>
      </w:r>
      <w:r>
        <w:rPr>
          <w:rFonts w:hint="eastAsia" w:ascii="Calibri" w:hAnsi="Calibri"/>
          <w:color w:val="auto"/>
          <w:highlight w:val="none"/>
        </w:rPr>
        <w:t>。</w:t>
      </w:r>
    </w:p>
    <w:p>
      <w:pPr>
        <w:snapToGrid w:val="0"/>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建立“企业评价体系”，技能培训以教学为主线，课堂教学—项目实操—岗位实践“三位一体”，考评合格者予以颁发“育米学位”，并与顶岗实习进行融合，增强学生的参与项目的积极性和主动性。</w:t>
      </w:r>
      <w:r>
        <w:rPr>
          <w:rFonts w:ascii="Calibri" w:hAnsi="Calibri"/>
          <w:color w:val="auto"/>
          <w:highlight w:val="none"/>
        </w:rPr>
        <w:t>实训过程中有机融入电子商务运用、互联网创业、微店、微博、网络信息技术，物流信息管理、电子交易、网络策划与营销管理、电子商务安全管理、电子商务模式、商务智能等内容</w:t>
      </w:r>
      <w:r>
        <w:rPr>
          <w:rFonts w:hint="eastAsia" w:ascii="Calibri" w:hAnsi="Calibri"/>
          <w:color w:val="auto"/>
          <w:highlight w:val="none"/>
        </w:rPr>
        <w:t>知识课程结束</w:t>
      </w:r>
      <w:r>
        <w:rPr>
          <w:rFonts w:ascii="Calibri" w:hAnsi="Calibri"/>
          <w:color w:val="auto"/>
          <w:highlight w:val="none"/>
        </w:rPr>
        <w:t>既具备</w:t>
      </w:r>
      <w:r>
        <w:rPr>
          <w:rFonts w:hint="eastAsia" w:ascii="Calibri" w:hAnsi="Calibri"/>
          <w:color w:val="auto"/>
          <w:highlight w:val="none"/>
        </w:rPr>
        <w:t>考取电子商务师初级证书</w:t>
      </w:r>
      <w:r>
        <w:rPr>
          <w:rFonts w:ascii="Calibri" w:hAnsi="Calibri"/>
          <w:color w:val="auto"/>
          <w:highlight w:val="none"/>
        </w:rPr>
        <w:t>的理论和技能水平</w:t>
      </w:r>
      <w:r>
        <w:rPr>
          <w:rFonts w:hint="eastAsia" w:ascii="Calibri" w:hAnsi="Calibri"/>
          <w:color w:val="auto"/>
          <w:highlight w:val="none"/>
        </w:rPr>
        <w:t>。</w:t>
      </w:r>
    </w:p>
    <w:p>
      <w:pPr>
        <w:ind w:firstLine="482"/>
        <w:rPr>
          <w:rFonts w:ascii="Calibri" w:hAnsi="Calibri"/>
          <w:color w:val="auto"/>
          <w:highlight w:val="none"/>
        </w:rPr>
      </w:pPr>
      <w:r>
        <w:rPr>
          <w:rFonts w:hint="eastAsia" w:ascii="Calibri" w:hAnsi="Calibri"/>
          <w:b/>
          <w:bCs/>
          <w:color w:val="auto"/>
          <w:highlight w:val="none"/>
        </w:rPr>
        <w:t>（8）课程名称：视频编辑制作与营销</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通过系统的理论学习，理解视频制作方式和制作过程，熟悉使用包括摄像机、单反相机、视频切换台等专业高清摄录设备，熟悉至少一种非线性编辑软件，具备制作一部短片的技术能力。在互联网环境下开展视频与营销探究和项目设计活动，为提高学生一专多能，多岗位技应用。</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掌握互联网视频在营销中的重要性，营销与视频组成及工作原理，理解视频制作的硬件、软件、压缩技术的基本原理与概念，掌握常用的音频、图像、视频和动画等多媒体编辑软件的使用方法，具备运用多媒体编辑软件对素材进行编辑处理的能力。</w:t>
      </w:r>
    </w:p>
    <w:p>
      <w:pPr>
        <w:ind w:firstLine="482"/>
        <w:rPr>
          <w:rFonts w:ascii="Calibri" w:hAnsi="Calibri"/>
          <w:b/>
          <w:bCs/>
          <w:color w:val="auto"/>
          <w:highlight w:val="none"/>
        </w:rPr>
      </w:pPr>
      <w:r>
        <w:rPr>
          <w:rFonts w:hint="eastAsia" w:ascii="Calibri" w:hAnsi="Calibri"/>
          <w:b/>
          <w:bCs/>
          <w:color w:val="auto"/>
          <w:highlight w:val="none"/>
        </w:rPr>
        <w:t>（9）课程名称：电商视觉营销</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培养学生出色的设计表达能力，使学生能迅速有效的将想法表现为设计方案，能独立完成电商视觉设计，培养学生有文案组织能力，具备发散性思维、有创意、有新意、具备把握较强视觉冲击力的能力，为提高学生一专多能，多岗位技应用。</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使学生掌握商品详情页制作技巧，熟悉商品详情页制作注意事项，了解宝贝主图和宝贝描述图的区别利用PS、DW合成商品宣传海报，熟悉商品主图制作规范，掌握产品主图策划和网店首页视觉设计。</w:t>
      </w:r>
    </w:p>
    <w:p>
      <w:pPr>
        <w:ind w:firstLine="482"/>
        <w:rPr>
          <w:rFonts w:ascii="Calibri" w:hAnsi="Calibri"/>
          <w:b/>
          <w:bCs/>
          <w:color w:val="auto"/>
          <w:highlight w:val="none"/>
        </w:rPr>
      </w:pPr>
      <w:r>
        <w:rPr>
          <w:rFonts w:hint="eastAsia" w:ascii="Calibri" w:hAnsi="Calibri"/>
          <w:b/>
          <w:bCs/>
          <w:color w:val="auto"/>
          <w:highlight w:val="none"/>
        </w:rPr>
        <w:t>（10）课程名称：电商运营实战</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将提高课程《客户关系管理》融入到实战项目中，实现对核心课程的检验，同步理论学习《</w:t>
      </w:r>
      <w:r>
        <w:rPr>
          <w:rFonts w:hint="eastAsia" w:ascii="Calibri" w:hAnsi="Calibri"/>
          <w:color w:val="auto"/>
          <w:highlight w:val="none"/>
          <w:lang w:eastAsia="zh-CN"/>
        </w:rPr>
        <w:t>数据化运营</w:t>
      </w:r>
      <w:r>
        <w:rPr>
          <w:rFonts w:hint="eastAsia" w:ascii="Calibri" w:hAnsi="Calibri"/>
          <w:color w:val="auto"/>
          <w:highlight w:val="none"/>
        </w:rPr>
        <w:t>》，将大数据融入到实战项目中，培养学生的思辨能力、创新能力，按照实战计划进行实战操作并分析学生得失成败，不断吸取经验和教训，培养学生爱岗敬业、吃苦耐劳、团结协作、勇于创新的专业精神，提高学生就业优势。</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培养满足实战项目的基本岗位工作能力，提高第一阶段基础课程连贯性和突破性，培养学生自我总结自我分析的能力，客户管理能力，要求学生具备团队协作能力，掌握合理疏导工作压力的能力。使学生熟悉工资结构和薪酬分配的原则。</w:t>
      </w:r>
    </w:p>
    <w:p>
      <w:pPr>
        <w:ind w:firstLine="482"/>
        <w:rPr>
          <w:rFonts w:ascii="Calibri" w:hAnsi="Calibri"/>
          <w:b/>
          <w:bCs/>
          <w:color w:val="auto"/>
          <w:highlight w:val="none"/>
        </w:rPr>
      </w:pPr>
      <w:r>
        <w:rPr>
          <w:rFonts w:hint="eastAsia" w:ascii="Calibri" w:hAnsi="Calibri"/>
          <w:b/>
          <w:bCs/>
          <w:color w:val="auto"/>
          <w:highlight w:val="none"/>
        </w:rPr>
        <w:t>（11）课程名称：大学生创业指导</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激发学生的生涯规划意识、合理规划职业发展，增强学生学会运用互联网+思维，了解当前经济形势与创新就业信息政策，提升企业发展前景与趋势判断能力，促进学生主动择业意识，增强社会责任感。</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贯穿整个人才培养过程，对有创业诉求的学生进行提高性培养，了解职业发展各阶段的规划策略及创业就业形势与政策，熟悉新经济业态发展环境，形成良好的职业品质、创业精神与创业就业能力，掌握创业基础知识和基本理论，熟悉创业的基本流程与操作技能，了解创业的法律法规和相关政策，明确作为一名企业家的责任意识。</w:t>
      </w:r>
    </w:p>
    <w:p>
      <w:pPr>
        <w:ind w:firstLine="482"/>
        <w:rPr>
          <w:rFonts w:ascii="Calibri" w:hAnsi="Calibri"/>
          <w:b/>
          <w:bCs/>
          <w:color w:val="auto"/>
          <w:highlight w:val="none"/>
        </w:rPr>
      </w:pPr>
      <w:r>
        <w:rPr>
          <w:rFonts w:hint="eastAsia" w:ascii="Calibri" w:hAnsi="Calibri"/>
          <w:b/>
          <w:bCs/>
          <w:color w:val="auto"/>
          <w:highlight w:val="none"/>
        </w:rPr>
        <w:t>（12）课程名称：毕业论文</w:t>
      </w:r>
    </w:p>
    <w:p>
      <w:pPr>
        <w:ind w:firstLine="482"/>
        <w:rPr>
          <w:rFonts w:ascii="Calibri" w:hAnsi="Calibri"/>
          <w:color w:val="auto"/>
          <w:highlight w:val="none"/>
        </w:rPr>
      </w:pPr>
      <w:r>
        <w:rPr>
          <w:rFonts w:hint="eastAsia" w:ascii="Calibri" w:hAnsi="Calibri"/>
          <w:b/>
          <w:bCs/>
          <w:color w:val="auto"/>
          <w:highlight w:val="none"/>
        </w:rPr>
        <w:t>课程目标：</w:t>
      </w:r>
      <w:r>
        <w:rPr>
          <w:rFonts w:hint="eastAsia" w:ascii="Calibri" w:hAnsi="Calibri"/>
          <w:color w:val="auto"/>
          <w:highlight w:val="none"/>
        </w:rPr>
        <w:t>快速了解毕业论文写作的全过程，掌握论文写作技巧，学习相关要求规范以及能够独立撰写论文。</w:t>
      </w:r>
    </w:p>
    <w:p>
      <w:pPr>
        <w:ind w:firstLine="482"/>
        <w:rPr>
          <w:rFonts w:ascii="Calibri" w:hAnsi="Calibri"/>
          <w:color w:val="auto"/>
          <w:highlight w:val="none"/>
        </w:rPr>
      </w:pPr>
      <w:r>
        <w:rPr>
          <w:rFonts w:hint="eastAsia" w:ascii="Calibri" w:hAnsi="Calibri"/>
          <w:b/>
          <w:bCs/>
          <w:color w:val="auto"/>
          <w:highlight w:val="none"/>
        </w:rPr>
        <w:t>主要教学内容和要求：</w:t>
      </w:r>
      <w:r>
        <w:rPr>
          <w:rFonts w:hint="eastAsia" w:ascii="Calibri" w:hAnsi="Calibri"/>
          <w:color w:val="auto"/>
          <w:highlight w:val="none"/>
        </w:rPr>
        <w:t>了解毕业论文的主要类型，使毕业生熟悉毕业论文的流程，了解毕业论文的选择题原则和方法，掌握毕业论文的写作技巧，熟悉毕业论文的语言表达和协作规范。</w:t>
      </w:r>
    </w:p>
    <w:p>
      <w:pPr>
        <w:spacing w:before="120" w:beforeLines="50" w:after="120" w:afterLines="50"/>
        <w:ind w:firstLine="560"/>
        <w:jc w:val="left"/>
        <w:rPr>
          <w:b/>
          <w:bCs/>
          <w:color w:val="auto"/>
          <w:highlight w:val="none"/>
        </w:rPr>
      </w:pPr>
      <w:r>
        <w:rPr>
          <w:rFonts w:hint="eastAsia" w:ascii="黑体" w:eastAsia="黑体"/>
          <w:bCs/>
          <w:color w:val="auto"/>
          <w:sz w:val="28"/>
          <w:szCs w:val="28"/>
          <w:highlight w:val="none"/>
        </w:rPr>
        <w:t>（三）选修课程</w:t>
      </w:r>
    </w:p>
    <w:p>
      <w:pPr>
        <w:ind w:firstLine="482"/>
        <w:rPr>
          <w:rFonts w:ascii="Calibri" w:hAnsi="Calibri"/>
          <w:b/>
          <w:bCs/>
          <w:color w:val="auto"/>
          <w:highlight w:val="none"/>
        </w:rPr>
      </w:pPr>
      <w:r>
        <w:rPr>
          <w:rFonts w:ascii="Calibri" w:hAnsi="Calibri"/>
          <w:b/>
          <w:bCs/>
          <w:color w:val="auto"/>
          <w:highlight w:val="none"/>
        </w:rPr>
        <w:t>1</w:t>
      </w:r>
      <w:r>
        <w:rPr>
          <w:rFonts w:hint="eastAsia" w:ascii="Calibri" w:hAnsi="Calibri"/>
          <w:b/>
          <w:bCs/>
          <w:color w:val="auto"/>
          <w:highlight w:val="none"/>
        </w:rPr>
        <w:t>．专业限选课程</w:t>
      </w:r>
    </w:p>
    <w:p>
      <w:pPr>
        <w:spacing w:line="460" w:lineRule="exact"/>
        <w:ind w:firstLine="480" w:firstLineChars="200"/>
        <w:rPr>
          <w:color w:val="auto"/>
          <w:highlight w:val="none"/>
        </w:rPr>
      </w:pPr>
      <w:r>
        <w:rPr>
          <w:rFonts w:hint="eastAsia"/>
          <w:color w:val="auto"/>
          <w:highlight w:val="none"/>
        </w:rPr>
        <w:t>专业选修课程设置与内容上充分体现了本专业特点，对学生未来发展将有重大的意义，同时拓展学生的知识与技能，发展学生的兴趣和特长，培养学生的个性，是现在大学不可缺少的内容，彻底打破传统、僵硬的选修内容，将选修课与专业课形成优势互补，充分是释放课程的知识能力，发挥每个学生的能力，为互联网领域电商商务专业方向输送各类高素质人才。专业限选课程：执行力与精细化管理、人工智能导论、中华优秀传统文化</w:t>
      </w:r>
      <w:r>
        <w:rPr>
          <w:rFonts w:hint="eastAsia"/>
          <w:color w:val="auto"/>
          <w:highlight w:val="none"/>
          <w:lang w:eastAsia="zh-CN"/>
        </w:rPr>
        <w:t>、</w:t>
      </w:r>
      <w:r>
        <w:rPr>
          <w:rFonts w:hint="eastAsia"/>
          <w:color w:val="auto"/>
          <w:highlight w:val="none"/>
        </w:rPr>
        <w:t>读书与鉴赏、团队素质拓展、“互联网+”时代的颠覆与创新。</w:t>
      </w:r>
    </w:p>
    <w:p>
      <w:pPr>
        <w:spacing w:before="120" w:beforeLines="50" w:after="120" w:afterLines="50"/>
        <w:ind w:firstLine="482"/>
        <w:jc w:val="left"/>
        <w:rPr>
          <w:b/>
          <w:bCs/>
          <w:color w:val="auto"/>
          <w:highlight w:val="none"/>
        </w:rPr>
      </w:pPr>
      <w:r>
        <w:rPr>
          <w:b/>
          <w:bCs/>
          <w:color w:val="auto"/>
          <w:highlight w:val="none"/>
        </w:rPr>
        <w:t>（1）课程名称：执行力与精细化管理</w:t>
      </w:r>
    </w:p>
    <w:p>
      <w:pPr>
        <w:spacing w:before="120" w:beforeLines="50" w:after="120" w:afterLines="50"/>
        <w:ind w:firstLine="482"/>
        <w:jc w:val="left"/>
        <w:rPr>
          <w:color w:val="auto"/>
          <w:highlight w:val="none"/>
        </w:rPr>
      </w:pPr>
      <w:r>
        <w:rPr>
          <w:b/>
          <w:bCs/>
          <w:color w:val="auto"/>
          <w:highlight w:val="none"/>
        </w:rPr>
        <w:t>课程目标：</w:t>
      </w:r>
      <w:r>
        <w:rPr>
          <w:color w:val="auto"/>
          <w:highlight w:val="none"/>
        </w:rPr>
        <w:t>使学生了解互联网企业精细化管理的运作体系，培养学生的岗位意识、工作效率和工作能力，引导学生以互联网企业职业经理人的身份，树立守时意识、纪律意识、大局观念和变化思维。</w:t>
      </w:r>
    </w:p>
    <w:p>
      <w:pPr>
        <w:spacing w:before="120" w:beforeLines="50" w:after="120" w:afterLines="50"/>
        <w:ind w:firstLine="482"/>
        <w:jc w:val="left"/>
        <w:rPr>
          <w:color w:val="auto"/>
          <w:highlight w:val="none"/>
        </w:rPr>
      </w:pPr>
      <w:r>
        <w:rPr>
          <w:b/>
          <w:bCs/>
          <w:color w:val="auto"/>
          <w:highlight w:val="none"/>
        </w:rPr>
        <w:t>主要教学内容和要求</w:t>
      </w:r>
      <w:r>
        <w:rPr>
          <w:color w:val="auto"/>
          <w:highlight w:val="none"/>
        </w:rPr>
        <w:t>：内容包括精细化管理的基本内涵、互联网企业精细化管理实施方式、企业执行文化的培养与锻造、团队精细化管理案例实操等，了解企业精细化管理中员工参与的具体做法，学会用机制、方法代替个人的主观性，掌握用过程管控和数据分析提升业绩的方法。</w:t>
      </w:r>
    </w:p>
    <w:p>
      <w:pPr>
        <w:spacing w:before="120" w:beforeLines="50" w:after="120" w:afterLines="50"/>
        <w:ind w:firstLine="482"/>
        <w:jc w:val="left"/>
        <w:rPr>
          <w:b/>
          <w:bCs/>
          <w:color w:val="auto"/>
          <w:highlight w:val="none"/>
        </w:rPr>
      </w:pPr>
      <w:r>
        <w:rPr>
          <w:b/>
          <w:bCs/>
          <w:color w:val="auto"/>
          <w:highlight w:val="none"/>
        </w:rPr>
        <w:t>（2）课程名称：人工智能导论</w:t>
      </w:r>
    </w:p>
    <w:p>
      <w:pPr>
        <w:spacing w:before="120" w:beforeLines="50" w:after="120" w:afterLines="50"/>
        <w:ind w:firstLine="482"/>
        <w:jc w:val="left"/>
        <w:rPr>
          <w:color w:val="auto"/>
          <w:highlight w:val="none"/>
        </w:rPr>
      </w:pPr>
      <w:r>
        <w:rPr>
          <w:b/>
          <w:bCs/>
          <w:color w:val="auto"/>
          <w:highlight w:val="none"/>
        </w:rPr>
        <w:t>课程目标：</w:t>
      </w:r>
      <w:r>
        <w:rPr>
          <w:color w:val="auto"/>
          <w:highlight w:val="none"/>
        </w:rPr>
        <w:t>培养学生能够掌握人工智能的基本概念和基本原理，熟悉人工智能的确定推理技术和不确定性推理，培养学生人工智能的发展学派和当前主要前沿方向继续学习的能力。</w:t>
      </w:r>
    </w:p>
    <w:p>
      <w:pPr>
        <w:spacing w:before="120" w:beforeLines="50" w:after="120" w:afterLines="50"/>
        <w:ind w:firstLine="482"/>
        <w:jc w:val="left"/>
        <w:rPr>
          <w:color w:val="auto"/>
          <w:highlight w:val="none"/>
        </w:rPr>
      </w:pPr>
      <w:r>
        <w:rPr>
          <w:b/>
          <w:bCs/>
          <w:color w:val="auto"/>
          <w:highlight w:val="none"/>
        </w:rPr>
        <w:t>主要教学内容和要求：</w:t>
      </w:r>
      <w:r>
        <w:rPr>
          <w:color w:val="auto"/>
          <w:highlight w:val="none"/>
        </w:rPr>
        <w:t>包括从智能机器、学科、能力三个方面对人工智能进行定义；从人类</w:t>
      </w:r>
      <w:r>
        <w:rPr>
          <w:rFonts w:hint="eastAsia" w:ascii="Calibri" w:hAnsi="Calibri"/>
          <w:color w:val="auto"/>
          <w:highlight w:val="none"/>
        </w:rPr>
        <w:t>认识</w:t>
      </w:r>
      <w:r>
        <w:rPr>
          <w:color w:val="auto"/>
          <w:highlight w:val="none"/>
        </w:rPr>
        <w:t>过程、图灵测试等方面来熟悉人工智能与人类智能之间的关系；了解人工智能的知识体系、研究范围和应用领域；熟悉素质拓展人工智能的起源、发展过程和未来趋势。了解什么是推理、什么是知识推理、推理所包含的基本问题、推理分类，了解不确定性推理的原因和特征、不确定性分类、不确定性的表示。</w:t>
      </w:r>
    </w:p>
    <w:p>
      <w:pPr>
        <w:spacing w:line="460" w:lineRule="exact"/>
        <w:ind w:firstLine="482" w:firstLineChars="200"/>
        <w:rPr>
          <w:b/>
          <w:bCs/>
          <w:color w:val="auto"/>
          <w:sz w:val="24"/>
          <w:szCs w:val="24"/>
          <w:highlight w:val="none"/>
        </w:rPr>
      </w:pPr>
      <w:r>
        <w:rPr>
          <w:rFonts w:hint="eastAsia"/>
          <w:b/>
          <w:color w:val="auto"/>
          <w:sz w:val="24"/>
          <w:szCs w:val="24"/>
          <w:highlight w:val="none"/>
          <w:lang w:eastAsia="zh-CN"/>
        </w:rPr>
        <w:t>（</w:t>
      </w:r>
      <w:r>
        <w:rPr>
          <w:rFonts w:hint="eastAsia"/>
          <w:b/>
          <w:color w:val="auto"/>
          <w:sz w:val="24"/>
          <w:szCs w:val="24"/>
          <w:highlight w:val="none"/>
          <w:lang w:val="en-US" w:eastAsia="zh-CN"/>
        </w:rPr>
        <w:t>3</w:t>
      </w:r>
      <w:r>
        <w:rPr>
          <w:rFonts w:hint="eastAsia"/>
          <w:b/>
          <w:color w:val="auto"/>
          <w:sz w:val="24"/>
          <w:szCs w:val="24"/>
          <w:highlight w:val="none"/>
          <w:lang w:eastAsia="zh-CN"/>
        </w:rPr>
        <w:t>）</w:t>
      </w:r>
      <w:r>
        <w:rPr>
          <w:rFonts w:hint="eastAsia"/>
          <w:b/>
          <w:color w:val="auto"/>
          <w:sz w:val="24"/>
          <w:szCs w:val="24"/>
          <w:highlight w:val="none"/>
        </w:rPr>
        <w:t>课程名称：</w:t>
      </w:r>
      <w:r>
        <w:rPr>
          <w:rFonts w:hint="eastAsia"/>
          <w:b/>
          <w:bCs/>
          <w:color w:val="auto"/>
          <w:sz w:val="24"/>
          <w:szCs w:val="24"/>
          <w:highlight w:val="none"/>
        </w:rPr>
        <w:t>中华优秀传统文化</w:t>
      </w:r>
    </w:p>
    <w:p>
      <w:pPr>
        <w:spacing w:line="460" w:lineRule="exact"/>
        <w:ind w:firstLine="482" w:firstLineChars="200"/>
        <w:rPr>
          <w:color w:val="auto"/>
          <w:sz w:val="24"/>
          <w:szCs w:val="24"/>
          <w:highlight w:val="none"/>
        </w:rPr>
      </w:pPr>
      <w:r>
        <w:rPr>
          <w:rFonts w:hint="eastAsia"/>
          <w:b/>
          <w:color w:val="auto"/>
          <w:sz w:val="24"/>
          <w:szCs w:val="24"/>
          <w:highlight w:val="none"/>
        </w:rPr>
        <w:t>课程目标：</w:t>
      </w:r>
      <w:r>
        <w:rPr>
          <w:rFonts w:hint="eastAsia"/>
          <w:color w:val="auto"/>
          <w:sz w:val="24"/>
          <w:szCs w:val="24"/>
          <w:highlight w:val="none"/>
        </w:rPr>
        <w:t>使学生了解中华传统文化的概念、内涵和思想主旨，感受中华文化的博大精深，理解和认识中国传统文化的优秀要素和传统思维方式，学会从文化的视角来观察、分析、解读现实问题。培养学生文化自觉的意识与文化自尊的态度，深刻感受当代中国文化自强的精神与文化自信，引导学生自觉传承优秀传统文化。</w:t>
      </w:r>
    </w:p>
    <w:p>
      <w:pPr>
        <w:spacing w:line="460" w:lineRule="exact"/>
        <w:ind w:firstLine="482" w:firstLineChars="200"/>
        <w:rPr>
          <w:color w:val="auto"/>
          <w:sz w:val="24"/>
          <w:szCs w:val="24"/>
          <w:highlight w:val="none"/>
        </w:rPr>
      </w:pPr>
      <w:r>
        <w:rPr>
          <w:rFonts w:hint="eastAsia"/>
          <w:b/>
          <w:color w:val="auto"/>
          <w:sz w:val="24"/>
          <w:szCs w:val="24"/>
          <w:highlight w:val="none"/>
        </w:rPr>
        <w:t>主要教学内容和要求：</w:t>
      </w:r>
      <w:r>
        <w:rPr>
          <w:rFonts w:hint="eastAsia"/>
          <w:color w:val="auto"/>
          <w:sz w:val="24"/>
          <w:szCs w:val="24"/>
          <w:highlight w:val="none"/>
        </w:rPr>
        <w:t>包括中国传统哲学思想、传统文学艺术、传统建筑与科技、传统饮食文化、传统服饰与礼俗；以及传统杂技与竞技文化、民间工艺文化、传统曲艺表演文化、传统饮食文化等地方文化。要求学生从中华传统文化中学习与掌握、继承与发扬求同存异、和而不同的处事方式，文以载道、以文化人的教化思想，天下兴亡、匹夫有责的担当精神，精忠报国、振兴中华的爱国情怀，崇德向善、见贤思齐的社会风尚等；学习中华民族优秀传统文化所蕴含的思想观念、人文精神、道德规范的突出优势和深厚的文化积淀、文化精髓。</w:t>
      </w:r>
    </w:p>
    <w:p>
      <w:pPr>
        <w:spacing w:before="120" w:beforeLines="50" w:after="120" w:afterLines="50"/>
        <w:ind w:firstLine="482"/>
        <w:jc w:val="left"/>
        <w:rPr>
          <w:b/>
          <w:bCs/>
          <w:color w:val="auto"/>
          <w:highlight w:val="none"/>
        </w:rPr>
      </w:pPr>
      <w:r>
        <w:rPr>
          <w:b/>
          <w:bCs/>
          <w:color w:val="auto"/>
          <w:highlight w:val="none"/>
        </w:rPr>
        <w:t>（</w:t>
      </w:r>
      <w:r>
        <w:rPr>
          <w:rFonts w:hint="eastAsia"/>
          <w:b/>
          <w:bCs/>
          <w:color w:val="auto"/>
          <w:highlight w:val="none"/>
          <w:lang w:val="en-US" w:eastAsia="zh-CN"/>
        </w:rPr>
        <w:t>4</w:t>
      </w:r>
      <w:r>
        <w:rPr>
          <w:b/>
          <w:bCs/>
          <w:color w:val="auto"/>
          <w:highlight w:val="none"/>
        </w:rPr>
        <w:t>）课程名称：</w:t>
      </w:r>
      <w:r>
        <w:rPr>
          <w:rFonts w:hint="eastAsia"/>
          <w:b/>
          <w:bCs/>
          <w:color w:val="auto"/>
          <w:highlight w:val="none"/>
          <w:lang w:eastAsia="zh-CN"/>
        </w:rPr>
        <w:t>阅读</w:t>
      </w:r>
      <w:r>
        <w:rPr>
          <w:rFonts w:hint="eastAsia"/>
          <w:b/>
          <w:bCs/>
          <w:color w:val="auto"/>
          <w:highlight w:val="none"/>
        </w:rPr>
        <w:t>与鉴赏</w:t>
      </w:r>
    </w:p>
    <w:p>
      <w:pPr>
        <w:spacing w:before="120" w:beforeLines="50" w:after="120" w:afterLines="50"/>
        <w:ind w:firstLine="482"/>
        <w:jc w:val="left"/>
        <w:rPr>
          <w:rFonts w:hint="eastAsia"/>
          <w:color w:val="auto"/>
          <w:highlight w:val="none"/>
          <w:lang w:val="en-US" w:eastAsia="zh-CN"/>
        </w:rPr>
      </w:pPr>
      <w:r>
        <w:rPr>
          <w:b/>
          <w:bCs/>
          <w:color w:val="auto"/>
          <w:highlight w:val="none"/>
        </w:rPr>
        <w:t>课程目标：</w:t>
      </w:r>
      <w:r>
        <w:rPr>
          <w:color w:val="auto"/>
          <w:highlight w:val="none"/>
        </w:rPr>
        <w:t>减轻学习中的压力，平静自己的内心。培养学生知识获取的能力，培养学生在较短的时间内掌握大量的科学文化知识，开阔视野的能力。锻炼学生记忆能力。</w:t>
      </w:r>
      <w:r>
        <w:rPr>
          <w:rFonts w:hint="eastAsia"/>
          <w:color w:val="auto"/>
          <w:highlight w:val="none"/>
          <w:lang w:val="en-US" w:eastAsia="zh-CN"/>
        </w:rPr>
        <w:t xml:space="preserve"> </w:t>
      </w:r>
    </w:p>
    <w:p>
      <w:pPr>
        <w:spacing w:before="120" w:beforeLines="50" w:after="120" w:afterLines="50"/>
        <w:ind w:firstLine="482"/>
        <w:jc w:val="left"/>
        <w:rPr>
          <w:color w:val="auto"/>
          <w:highlight w:val="none"/>
        </w:rPr>
      </w:pPr>
      <w:r>
        <w:rPr>
          <w:b/>
          <w:bCs/>
          <w:color w:val="auto"/>
          <w:highlight w:val="none"/>
        </w:rPr>
        <w:t>主要教学内容和要求：</w:t>
      </w:r>
      <w:r>
        <w:rPr>
          <w:color w:val="auto"/>
          <w:highlight w:val="none"/>
        </w:rPr>
        <w:t>由开放的环境读书环境、举办丰富读书活动、涵盖了思想哲学类、社会科学类、自然科学类、综合图书类各类书籍，以及网络图书、电子版图书、学生原创文章等，使学生通过书籍更多了解世界、了解社会、了解科学。</w:t>
      </w:r>
    </w:p>
    <w:p>
      <w:pPr>
        <w:spacing w:before="120" w:beforeLines="50" w:after="120" w:afterLines="50"/>
        <w:ind w:firstLine="482"/>
        <w:jc w:val="left"/>
        <w:rPr>
          <w:b/>
          <w:bCs/>
          <w:color w:val="auto"/>
          <w:highlight w:val="none"/>
        </w:rPr>
      </w:pPr>
      <w:r>
        <w:rPr>
          <w:b/>
          <w:bCs/>
          <w:color w:val="auto"/>
          <w:highlight w:val="none"/>
        </w:rPr>
        <w:t>（</w:t>
      </w:r>
      <w:r>
        <w:rPr>
          <w:rFonts w:hint="eastAsia"/>
          <w:b/>
          <w:bCs/>
          <w:color w:val="auto"/>
          <w:highlight w:val="none"/>
          <w:lang w:val="en-US" w:eastAsia="zh-CN"/>
        </w:rPr>
        <w:t>5</w:t>
      </w:r>
      <w:r>
        <w:rPr>
          <w:b/>
          <w:bCs/>
          <w:color w:val="auto"/>
          <w:highlight w:val="none"/>
        </w:rPr>
        <w:t>）课程名称：团队素质拓展</w:t>
      </w:r>
    </w:p>
    <w:p>
      <w:pPr>
        <w:keepNext/>
        <w:keepLines/>
        <w:spacing w:before="120" w:beforeLines="50" w:after="120" w:afterLines="50"/>
        <w:ind w:firstLine="482"/>
        <w:jc w:val="left"/>
        <w:rPr>
          <w:color w:val="auto"/>
          <w:highlight w:val="none"/>
        </w:rPr>
      </w:pPr>
      <w:r>
        <w:rPr>
          <w:b/>
          <w:bCs/>
          <w:color w:val="auto"/>
          <w:highlight w:val="none"/>
        </w:rPr>
        <w:t>课程目标：</w:t>
      </w:r>
      <w:r>
        <w:rPr>
          <w:color w:val="auto"/>
          <w:highlight w:val="none"/>
        </w:rPr>
        <w:t>激发学生个人潜能和封闭环境下的抗压能力，客观进行自我定位；增强学生自信心，克服心理惰性，增强工作韧性，更客观的面对工作和生活的挑战。学会关心、激励、相互信任，形成积极向上、团队互助的团队气氛。</w:t>
      </w:r>
    </w:p>
    <w:p>
      <w:pPr>
        <w:keepNext/>
        <w:keepLines/>
        <w:spacing w:before="120" w:beforeLines="50" w:after="120" w:afterLines="50"/>
        <w:ind w:firstLine="482"/>
        <w:jc w:val="left"/>
        <w:rPr>
          <w:color w:val="auto"/>
          <w:highlight w:val="none"/>
        </w:rPr>
      </w:pPr>
      <w:r>
        <w:rPr>
          <w:b/>
          <w:bCs/>
          <w:color w:val="auto"/>
          <w:highlight w:val="none"/>
        </w:rPr>
        <w:t>主要教学内容和要求：</w:t>
      </w:r>
      <w:r>
        <w:rPr>
          <w:color w:val="auto"/>
          <w:highlight w:val="none"/>
        </w:rPr>
        <w:t>采取集中时间、连续作业的方式进行授课。内容包括团队破冰，热身活动，分组，组长选择，拓展计划宣讲，惩罚机制宣讲，拓展游戏进行，评比，宣布评比结果，复盘。使学生了解团队作战与个人作战的区别，学会在短时间内开展工作的</w:t>
      </w:r>
      <w:r>
        <w:rPr>
          <w:rFonts w:hint="eastAsia"/>
          <w:color w:val="auto"/>
          <w:highlight w:val="none"/>
        </w:rPr>
        <w:t>能力</w:t>
      </w:r>
      <w:r>
        <w:rPr>
          <w:color w:val="auto"/>
          <w:highlight w:val="none"/>
        </w:rPr>
        <w:t>，掌握与人相处的技巧和注意事项。</w:t>
      </w:r>
    </w:p>
    <w:p>
      <w:pPr>
        <w:spacing w:before="120" w:beforeLines="50" w:after="120" w:afterLines="50"/>
        <w:ind w:firstLine="482"/>
        <w:jc w:val="left"/>
        <w:rPr>
          <w:b/>
          <w:bCs/>
          <w:color w:val="auto"/>
          <w:highlight w:val="none"/>
        </w:rPr>
      </w:pPr>
      <w:r>
        <w:rPr>
          <w:rFonts w:hint="eastAsia"/>
          <w:b/>
          <w:bCs/>
          <w:color w:val="auto"/>
          <w:highlight w:val="none"/>
        </w:rPr>
        <w:t>（</w:t>
      </w:r>
      <w:r>
        <w:rPr>
          <w:rFonts w:hint="eastAsia"/>
          <w:b/>
          <w:bCs/>
          <w:color w:val="auto"/>
          <w:highlight w:val="none"/>
          <w:lang w:val="en-US" w:eastAsia="zh-CN"/>
        </w:rPr>
        <w:t>6</w:t>
      </w:r>
      <w:r>
        <w:rPr>
          <w:rFonts w:hint="eastAsia"/>
          <w:b/>
          <w:bCs/>
          <w:color w:val="auto"/>
          <w:highlight w:val="none"/>
        </w:rPr>
        <w:t>）</w:t>
      </w:r>
      <w:r>
        <w:rPr>
          <w:b/>
          <w:bCs/>
          <w:color w:val="auto"/>
          <w:highlight w:val="none"/>
        </w:rPr>
        <w:t>课程名称：“互联网+”时代的颠覆与创新</w:t>
      </w:r>
    </w:p>
    <w:p>
      <w:pPr>
        <w:keepNext/>
        <w:keepLines/>
        <w:spacing w:before="120" w:beforeLines="50" w:after="120" w:afterLines="50"/>
        <w:ind w:firstLine="482"/>
        <w:jc w:val="left"/>
        <w:rPr>
          <w:color w:val="auto"/>
          <w:highlight w:val="none"/>
        </w:rPr>
      </w:pPr>
      <w:r>
        <w:rPr>
          <w:b/>
          <w:bCs/>
          <w:color w:val="auto"/>
          <w:highlight w:val="none"/>
        </w:rPr>
        <w:t>课程目标：</w:t>
      </w:r>
      <w:r>
        <w:rPr>
          <w:color w:val="auto"/>
          <w:highlight w:val="none"/>
        </w:rPr>
        <w:t>培养学生掌握互联网+时代的行业发展趋势、管理变革。使学生在互联网基础上，提升创新意识与创业素养。使学生掌握在“互联网+”时代经济运行的变化与社会、商业、管理模式创新的能力。</w:t>
      </w:r>
    </w:p>
    <w:p>
      <w:pPr>
        <w:keepNext/>
        <w:keepLines/>
        <w:spacing w:before="120" w:beforeLines="50" w:after="120" w:afterLines="50"/>
        <w:ind w:firstLine="482"/>
        <w:jc w:val="left"/>
        <w:rPr>
          <w:color w:val="auto"/>
          <w:highlight w:val="none"/>
        </w:rPr>
      </w:pPr>
      <w:r>
        <w:rPr>
          <w:b/>
          <w:bCs/>
          <w:color w:val="auto"/>
          <w:highlight w:val="none"/>
        </w:rPr>
        <w:t>主要教学内容和要求</w:t>
      </w:r>
      <w:r>
        <w:rPr>
          <w:color w:val="auto"/>
          <w:highlight w:val="none"/>
        </w:rPr>
        <w:t>：内容包括“互联网”＋时代、“互联网”+时代的思维模式、“互联网”+时代的商业模式、“互联网”+时代的发展模式、“互联网”＋时代的管理模式、“互联网”＋时代的客户价值、“互联网”＋时代的价值创造、“互联网”+时代的价值传递。</w:t>
      </w:r>
    </w:p>
    <w:p>
      <w:pPr>
        <w:ind w:firstLine="482"/>
        <w:rPr>
          <w:rFonts w:ascii="Calibri" w:hAnsi="Calibri"/>
          <w:b/>
          <w:color w:val="auto"/>
          <w:highlight w:val="none"/>
        </w:rPr>
      </w:pPr>
      <w:r>
        <w:rPr>
          <w:rFonts w:hint="eastAsia" w:ascii="Calibri" w:hAnsi="Calibri"/>
          <w:b/>
          <w:color w:val="auto"/>
          <w:highlight w:val="none"/>
          <w:lang w:bidi="ar"/>
        </w:rPr>
        <w:t>2</w:t>
      </w:r>
      <w:r>
        <w:rPr>
          <w:rFonts w:ascii="Calibri" w:hAnsi="Calibri"/>
          <w:b/>
          <w:color w:val="auto"/>
          <w:highlight w:val="none"/>
          <w:lang w:bidi="ar"/>
        </w:rPr>
        <w:t>.</w:t>
      </w:r>
      <w:r>
        <w:rPr>
          <w:rFonts w:hint="eastAsia" w:ascii="宋体" w:hAnsi="宋体" w:cs="宋体"/>
          <w:b/>
          <w:color w:val="auto"/>
          <w:highlight w:val="none"/>
          <w:lang w:bidi="ar"/>
        </w:rPr>
        <w:t>公共选修课程</w:t>
      </w:r>
    </w:p>
    <w:p>
      <w:pPr>
        <w:spacing w:before="120" w:beforeLines="50" w:after="120" w:afterLines="50"/>
        <w:ind w:firstLine="480"/>
        <w:jc w:val="left"/>
        <w:rPr>
          <w:rFonts w:ascii="宋体" w:hAnsi="宋体" w:cs="宋体"/>
          <w:color w:val="auto"/>
          <w:highlight w:val="none"/>
          <w:lang w:bidi="ar"/>
        </w:rPr>
      </w:pPr>
      <w:r>
        <w:rPr>
          <w:rFonts w:ascii="宋体" w:hAnsi="宋体" w:cs="宋体"/>
          <w:color w:val="auto"/>
          <w:highlight w:val="none"/>
          <w:lang w:bidi="ar"/>
        </w:rPr>
        <w:t>完善学生知识结构，培养学生创新精神、实践能力和人文素养，引导学生广泛涉猎不同</w:t>
      </w:r>
      <w:r>
        <w:rPr>
          <w:rFonts w:hint="eastAsia" w:ascii="宋体" w:hAnsi="宋体" w:cs="宋体"/>
          <w:color w:val="auto"/>
          <w:highlight w:val="none"/>
          <w:lang w:bidi="ar"/>
        </w:rPr>
        <w:t>课程</w:t>
      </w:r>
      <w:r>
        <w:rPr>
          <w:rFonts w:ascii="宋体" w:hAnsi="宋体" w:cs="宋体"/>
          <w:color w:val="auto"/>
          <w:highlight w:val="none"/>
          <w:lang w:bidi="ar"/>
        </w:rPr>
        <w:t>领域，拓宽知识面，学习不同课程的思想和方法，强化素质，提高能力，为适应当下新时代高素质人才的需要打下基础。由学生根据个人基础、知识结构、兴趣爱好等自主决定，以引导学生主动学习，独立钻研，全面发展，目标为了提高学生的身心素质和思想文化素质；培养学生了解课程前沿的新成果、新趋势、新信息，同时扩大扩展学生的知识面，促进不同课程的交叉渗透培养学生的思辨能力和创新能力。启发思想、掌握方法，培养学生发现问题，分析问题和解决问题的能力</w:t>
      </w:r>
      <w:r>
        <w:rPr>
          <w:rFonts w:hint="eastAsia" w:ascii="宋体" w:hAnsi="宋体" w:cs="宋体"/>
          <w:color w:val="auto"/>
          <w:highlight w:val="none"/>
          <w:lang w:bidi="ar"/>
        </w:rPr>
        <w:t>。</w:t>
      </w:r>
    </w:p>
    <w:p>
      <w:pPr>
        <w:keepNext/>
        <w:keepLines/>
        <w:spacing w:before="120" w:beforeLines="50" w:after="120" w:afterLines="50"/>
        <w:ind w:firstLine="562"/>
        <w:jc w:val="left"/>
        <w:rPr>
          <w:rFonts w:eastAsia="黑体"/>
          <w:b/>
          <w:bCs/>
          <w:color w:val="auto"/>
          <w:kern w:val="44"/>
          <w:sz w:val="28"/>
          <w:szCs w:val="28"/>
          <w:highlight w:val="none"/>
        </w:rPr>
      </w:pPr>
      <w:r>
        <w:rPr>
          <w:rFonts w:hint="eastAsia" w:eastAsia="黑体"/>
          <w:b/>
          <w:bCs/>
          <w:color w:val="auto"/>
          <w:kern w:val="44"/>
          <w:sz w:val="28"/>
          <w:szCs w:val="28"/>
          <w:highlight w:val="none"/>
        </w:rPr>
        <w:t>七、教学进程</w:t>
      </w:r>
      <w:r>
        <w:rPr>
          <w:rFonts w:eastAsia="黑体"/>
          <w:b/>
          <w:bCs/>
          <w:color w:val="auto"/>
          <w:kern w:val="44"/>
          <w:sz w:val="28"/>
          <w:szCs w:val="28"/>
          <w:highlight w:val="none"/>
        </w:rPr>
        <w:t>总体安</w:t>
      </w:r>
      <w:r>
        <w:rPr>
          <w:rFonts w:hint="eastAsia" w:eastAsia="黑体"/>
          <w:b/>
          <w:bCs/>
          <w:color w:val="auto"/>
          <w:kern w:val="44"/>
          <w:sz w:val="28"/>
          <w:szCs w:val="28"/>
          <w:highlight w:val="none"/>
        </w:rPr>
        <w:t>排</w:t>
      </w:r>
    </w:p>
    <w:p>
      <w:pPr>
        <w:ind w:firstLine="480"/>
        <w:rPr>
          <w:rFonts w:ascii="Calibri" w:hAnsi="Calibri"/>
          <w:color w:val="auto"/>
          <w:highlight w:val="none"/>
        </w:rPr>
      </w:pPr>
      <w:r>
        <w:rPr>
          <w:rFonts w:hint="eastAsia" w:ascii="Calibri" w:hAnsi="Calibri"/>
          <w:color w:val="auto"/>
          <w:highlight w:val="none"/>
        </w:rPr>
        <w:t>电子商务专业依据行业企业调研、与专家访谈和毕业生跟踪调研等调研结果，进行课程的设置和教学进程的安排，详见表附表 课程设置及教学安排、</w:t>
      </w:r>
    </w:p>
    <w:p>
      <w:pPr>
        <w:ind w:firstLine="480"/>
        <w:rPr>
          <w:rFonts w:ascii="宋体" w:hAnsi="宋体"/>
          <w:color w:val="auto"/>
          <w:kern w:val="44"/>
          <w:highlight w:val="none"/>
        </w:rPr>
      </w:pPr>
      <w:r>
        <w:rPr>
          <w:rFonts w:hint="eastAsia" w:ascii="宋体" w:hAnsi="宋体"/>
          <w:color w:val="auto"/>
          <w:kern w:val="44"/>
          <w:highlight w:val="none"/>
        </w:rPr>
        <w:t>依据河北工业职业技术学院2019版人才培养方案制定意见和工作计划表，详细安培见教学进程表、</w:t>
      </w:r>
      <w:r>
        <w:rPr>
          <w:rFonts w:hint="eastAsia" w:ascii="Calibri" w:hAnsi="Calibri"/>
          <w:color w:val="auto"/>
          <w:highlight w:val="none"/>
        </w:rPr>
        <w:t>创新创业等素质教育学分安排表</w:t>
      </w:r>
      <w:r>
        <w:rPr>
          <w:rFonts w:hint="eastAsia" w:ascii="宋体" w:hAnsi="宋体"/>
          <w:color w:val="auto"/>
          <w:kern w:val="44"/>
          <w:highlight w:val="none"/>
        </w:rPr>
        <w:t>。</w:t>
      </w:r>
    </w:p>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color w:val="auto"/>
          <w:kern w:val="0"/>
          <w:sz w:val="21"/>
          <w:szCs w:val="21"/>
          <w:highlight w:val="none"/>
        </w:rPr>
        <w:t>教学进程表</w:t>
      </w:r>
    </w:p>
    <w:tbl>
      <w:tblPr>
        <w:tblStyle w:val="4"/>
        <w:tblW w:w="92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90"/>
        <w:gridCol w:w="779"/>
        <w:gridCol w:w="360"/>
        <w:gridCol w:w="263"/>
        <w:gridCol w:w="263"/>
        <w:gridCol w:w="263"/>
        <w:gridCol w:w="263"/>
        <w:gridCol w:w="263"/>
        <w:gridCol w:w="263"/>
        <w:gridCol w:w="263"/>
        <w:gridCol w:w="286"/>
        <w:gridCol w:w="240"/>
        <w:gridCol w:w="263"/>
        <w:gridCol w:w="263"/>
        <w:gridCol w:w="263"/>
        <w:gridCol w:w="263"/>
        <w:gridCol w:w="263"/>
        <w:gridCol w:w="263"/>
        <w:gridCol w:w="263"/>
        <w:gridCol w:w="263"/>
        <w:gridCol w:w="264"/>
        <w:gridCol w:w="268"/>
        <w:gridCol w:w="270"/>
        <w:gridCol w:w="272"/>
        <w:gridCol w:w="272"/>
        <w:gridCol w:w="272"/>
        <w:gridCol w:w="272"/>
        <w:gridCol w:w="272"/>
        <w:gridCol w:w="272"/>
        <w:gridCol w:w="4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7" w:hRule="atLeast"/>
          <w:jc w:val="center"/>
        </w:trPr>
        <w:tc>
          <w:tcPr>
            <w:tcW w:w="790" w:type="dxa"/>
            <w:tcBorders>
              <w:top w:val="single" w:color="auto" w:sz="12" w:space="0"/>
              <w:bottom w:val="nil"/>
              <w:right w:val="nil"/>
            </w:tcBorders>
            <w:vAlign w:val="center"/>
          </w:tcPr>
          <w:p>
            <w:pPr>
              <w:widowControl/>
              <w:spacing w:line="240" w:lineRule="auto"/>
              <w:ind w:firstLine="0" w:firstLineChars="0"/>
              <w:rPr>
                <w:rFonts w:ascii="宋体" w:hAnsi="宋体" w:cs="宋体"/>
                <w:b/>
                <w:bCs/>
                <w:color w:val="auto"/>
                <w:kern w:val="0"/>
                <w:sz w:val="21"/>
                <w:szCs w:val="21"/>
                <w:highlight w:val="none"/>
              </w:rPr>
            </w:pPr>
            <w:r>
              <w:rPr>
                <w:rFonts w:ascii="宋体" w:hAnsi="宋体" w:cs="宋体"/>
                <w:b/>
                <w:bCs/>
                <w:color w:val="auto"/>
                <w:kern w:val="0"/>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-20320</wp:posOffset>
                      </wp:positionV>
                      <wp:extent cx="1190625" cy="544830"/>
                      <wp:effectExtent l="1905" t="4445" r="7620" b="22225"/>
                      <wp:wrapNone/>
                      <wp:docPr id="4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190625" cy="54483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0.4pt;margin-top:-1.6pt;height:42.9pt;width:93.75pt;z-index:251660288;mso-width-relative:page;mso-height-relative:page;" filled="f" stroked="t" coordsize="21600,21600" o:gfxdata="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vAI1QAAAAcBAAAPAAAAAAAAAAEAIAAAACIAAABkcnMvZG93bnJldi54bWxQSwECFAAUAAAACACH&#10;TuJAdXZPQO4BAAC+AwAADgAAAAAAAAABACAAAAAkAQAAZHJzL2Uyb0RvYy54bWxQSwUGAAAAAAYA&#10;BgBZAQAAhAUAAAAA&#10;">
                      <v:fill on="f" focussize="0,0"/>
                      <v:stroke color="#000000" joinstyle="round"/>
                      <v:imagedata o:title=""/>
                      <o:lock v:ext="edit" aspectratio="f"/>
                    </v:line>
                  </w:pict>
                </mc:Fallback>
              </mc:AlternateContent>
            </w:r>
            <w:r>
              <w:rPr>
                <w:rFonts w:ascii="宋体" w:hAnsi="宋体" w:cs="宋体"/>
                <w:b/>
                <w:bCs/>
                <w:color w:val="auto"/>
                <w:kern w:val="0"/>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466725" cy="544830"/>
                      <wp:effectExtent l="3810" t="3175" r="5715" b="4445"/>
                      <wp:wrapNone/>
                      <wp:docPr id="48"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466725" cy="54483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0.35pt;height:42.9pt;width:36.75pt;z-index:251661312;mso-width-relative:page;mso-height-relative:page;" filled="f" stroked="t" coordsize="21600,21600" o:gfxdata="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tA&#10;FdMAAAADAQAADwAAAAAAAAABACAAAAAiAAAAZHJzL2Rvd25yZXYueG1sUEsBAhQAFAAAAAgAh07i&#10;QNmwUQLuAQAAvQMAAA4AAAAAAAAAAQAgAAAAIgEAAGRycy9lMm9Eb2MueG1sUEsFBgAAAAAGAAYA&#10;WQEAAIIFAAAAAA==&#10;">
                      <v:fill on="f" focussize="0,0"/>
                      <v:stroke color="#000000" joinstyle="round"/>
                      <v:imagedata o:title=""/>
                      <o:lock v:ext="edit" aspectratio="f"/>
                    </v:line>
                  </w:pict>
                </mc:Fallback>
              </mc:AlternateContent>
            </w:r>
          </w:p>
        </w:tc>
        <w:tc>
          <w:tcPr>
            <w:tcW w:w="779" w:type="dxa"/>
            <w:tcBorders>
              <w:top w:val="single" w:color="auto" w:sz="12" w:space="0"/>
              <w:left w:val="nil"/>
              <w:bottom w:val="nil"/>
              <w:right w:val="nil"/>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360" w:type="dxa"/>
            <w:tcBorders>
              <w:top w:val="single" w:color="auto" w:sz="12" w:space="0"/>
              <w:left w:val="nil"/>
              <w:bottom w:val="nil"/>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周</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7</w:t>
            </w:r>
          </w:p>
        </w:tc>
        <w:tc>
          <w:tcPr>
            <w:tcW w:w="286"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8</w:t>
            </w:r>
          </w:p>
        </w:tc>
        <w:tc>
          <w:tcPr>
            <w:tcW w:w="240"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10</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11</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12</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13</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14</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15</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16</w:t>
            </w:r>
          </w:p>
        </w:tc>
        <w:tc>
          <w:tcPr>
            <w:tcW w:w="263"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17</w:t>
            </w:r>
          </w:p>
        </w:tc>
        <w:tc>
          <w:tcPr>
            <w:tcW w:w="264"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18</w:t>
            </w:r>
          </w:p>
        </w:tc>
        <w:tc>
          <w:tcPr>
            <w:tcW w:w="268"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19</w:t>
            </w:r>
          </w:p>
        </w:tc>
        <w:tc>
          <w:tcPr>
            <w:tcW w:w="270"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20</w:t>
            </w:r>
          </w:p>
        </w:tc>
        <w:tc>
          <w:tcPr>
            <w:tcW w:w="272"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p>
        </w:tc>
        <w:tc>
          <w:tcPr>
            <w:tcW w:w="272"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22</w:t>
            </w:r>
          </w:p>
        </w:tc>
        <w:tc>
          <w:tcPr>
            <w:tcW w:w="272"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23</w:t>
            </w:r>
          </w:p>
        </w:tc>
        <w:tc>
          <w:tcPr>
            <w:tcW w:w="272"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24</w:t>
            </w:r>
          </w:p>
        </w:tc>
        <w:tc>
          <w:tcPr>
            <w:tcW w:w="272"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25</w:t>
            </w:r>
          </w:p>
        </w:tc>
        <w:tc>
          <w:tcPr>
            <w:tcW w:w="272"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26</w:t>
            </w:r>
          </w:p>
        </w:tc>
        <w:tc>
          <w:tcPr>
            <w:tcW w:w="444" w:type="dxa"/>
            <w:vMerge w:val="restart"/>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7" w:hRule="atLeast"/>
          <w:jc w:val="center"/>
        </w:trPr>
        <w:tc>
          <w:tcPr>
            <w:tcW w:w="790" w:type="dxa"/>
            <w:tcBorders>
              <w:top w:val="nil"/>
              <w:bottom w:val="nil"/>
              <w:right w:val="nil"/>
            </w:tcBorders>
            <w:vAlign w:val="center"/>
          </w:tcPr>
          <w:p>
            <w:pPr>
              <w:widowControl/>
              <w:spacing w:line="240" w:lineRule="auto"/>
              <w:ind w:firstLine="0" w:firstLineChars="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年</w:t>
            </w:r>
          </w:p>
        </w:tc>
        <w:tc>
          <w:tcPr>
            <w:tcW w:w="779" w:type="dxa"/>
            <w:tcBorders>
              <w:top w:val="nil"/>
              <w:left w:val="nil"/>
              <w:bottom w:val="nil"/>
              <w:right w:val="nil"/>
            </w:tcBorders>
            <w:vAlign w:val="center"/>
          </w:tcPr>
          <w:p>
            <w:pPr>
              <w:widowControl/>
              <w:spacing w:line="240" w:lineRule="auto"/>
              <w:ind w:firstLine="0" w:firstLineChars="0"/>
              <w:rPr>
                <w:rFonts w:ascii="宋体" w:hAnsi="宋体" w:cs="宋体"/>
                <w:b/>
                <w:bCs/>
                <w:color w:val="auto"/>
                <w:kern w:val="0"/>
                <w:sz w:val="21"/>
                <w:szCs w:val="21"/>
                <w:highlight w:val="none"/>
              </w:rPr>
            </w:pPr>
          </w:p>
        </w:tc>
        <w:tc>
          <w:tcPr>
            <w:tcW w:w="360" w:type="dxa"/>
            <w:tcBorders>
              <w:top w:val="nil"/>
              <w:left w:val="nil"/>
              <w:bottom w:val="nil"/>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次</w:t>
            </w: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86"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40"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4"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8"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0"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444"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7" w:hRule="atLeast"/>
          <w:jc w:val="center"/>
        </w:trPr>
        <w:tc>
          <w:tcPr>
            <w:tcW w:w="790" w:type="dxa"/>
            <w:tcBorders>
              <w:top w:val="nil"/>
              <w:bottom w:val="single" w:color="auto" w:sz="6" w:space="0"/>
              <w:right w:val="nil"/>
            </w:tcBorders>
            <w:vAlign w:val="center"/>
          </w:tcPr>
          <w:p>
            <w:pPr>
              <w:widowControl/>
              <w:spacing w:line="240" w:lineRule="auto"/>
              <w:ind w:firstLine="0" w:firstLineChars="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级</w:t>
            </w:r>
          </w:p>
        </w:tc>
        <w:tc>
          <w:tcPr>
            <w:tcW w:w="779" w:type="dxa"/>
            <w:tcBorders>
              <w:top w:val="nil"/>
              <w:left w:val="nil"/>
              <w:bottom w:val="single" w:color="auto" w:sz="6" w:space="0"/>
              <w:right w:val="nil"/>
            </w:tcBorders>
            <w:vAlign w:val="center"/>
          </w:tcPr>
          <w:p>
            <w:pPr>
              <w:widowControl/>
              <w:spacing w:line="240" w:lineRule="auto"/>
              <w:ind w:firstLine="0" w:firstLineChars="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学期</w:t>
            </w:r>
          </w:p>
        </w:tc>
        <w:tc>
          <w:tcPr>
            <w:tcW w:w="360" w:type="dxa"/>
            <w:tcBorders>
              <w:top w:val="nil"/>
              <w:left w:val="nil"/>
              <w:bottom w:val="single" w:color="auto" w:sz="6"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86"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40"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4"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68"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0"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c>
          <w:tcPr>
            <w:tcW w:w="444" w:type="dxa"/>
            <w:vMerge w:val="continue"/>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790" w:type="dxa"/>
            <w:vMerge w:val="restart"/>
            <w:tcBorders>
              <w:top w:val="single" w:color="auto" w:sz="6"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一年级</w:t>
            </w:r>
          </w:p>
        </w:tc>
        <w:tc>
          <w:tcPr>
            <w:tcW w:w="1139" w:type="dxa"/>
            <w:gridSpan w:val="2"/>
            <w:vMerge w:val="restart"/>
            <w:tcBorders>
              <w:top w:val="single" w:color="auto" w:sz="6" w:space="0"/>
            </w:tcBorders>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第一</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学期</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8"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86"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40"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4"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8"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0"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444"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restart"/>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第二</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学期</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8"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8"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790" w:type="dxa"/>
            <w:vMerge w:val="restart"/>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二年级</w:t>
            </w:r>
          </w:p>
        </w:tc>
        <w:tc>
          <w:tcPr>
            <w:tcW w:w="1139" w:type="dxa"/>
            <w:gridSpan w:val="2"/>
            <w:vMerge w:val="restart"/>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第三</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学期</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8"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vMerge w:val="restart"/>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86"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40"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3"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4"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68"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0"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272"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c>
          <w:tcPr>
            <w:tcW w:w="444" w:type="dxa"/>
            <w:vMerge w:val="continue"/>
            <w:vAlign w:val="center"/>
          </w:tcPr>
          <w:p>
            <w:pPr>
              <w:spacing w:line="240" w:lineRule="auto"/>
              <w:ind w:firstLine="0" w:firstLineChars="0"/>
              <w:jc w:val="left"/>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3"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restart"/>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第四</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学期</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Ⅰ</w:t>
            </w:r>
          </w:p>
        </w:tc>
        <w:tc>
          <w:tcPr>
            <w:tcW w:w="268"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2"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Ⅰ</w:t>
            </w:r>
          </w:p>
        </w:tc>
        <w:tc>
          <w:tcPr>
            <w:tcW w:w="268"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tcBorders>
              <w:top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0" w:hRule="atLeast"/>
          <w:jc w:val="center"/>
        </w:trPr>
        <w:tc>
          <w:tcPr>
            <w:tcW w:w="790" w:type="dxa"/>
            <w:vMerge w:val="restart"/>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三年级</w:t>
            </w:r>
          </w:p>
        </w:tc>
        <w:tc>
          <w:tcPr>
            <w:tcW w:w="1139" w:type="dxa"/>
            <w:gridSpan w:val="2"/>
            <w:vMerge w:val="restart"/>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第五</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学期</w:t>
            </w:r>
          </w:p>
        </w:tc>
        <w:tc>
          <w:tcPr>
            <w:tcW w:w="263" w:type="dxa"/>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vAlign w:val="center"/>
          </w:tcPr>
          <w:p>
            <w:pPr>
              <w:spacing w:line="240" w:lineRule="auto"/>
              <w:ind w:firstLine="0" w:firstLineChars="0"/>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4"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8"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25"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263" w:type="dxa"/>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86"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40" w:type="dxa"/>
            <w:vAlign w:val="center"/>
          </w:tcPr>
          <w:p>
            <w:pPr>
              <w:spacing w:line="240" w:lineRule="auto"/>
              <w:ind w:firstLine="0" w:firstLineChars="0"/>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4"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8"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vAlign w:val="center"/>
          </w:tcPr>
          <w:p>
            <w:pPr>
              <w:spacing w:line="240" w:lineRule="auto"/>
              <w:ind w:firstLine="0" w:firstLineChars="0"/>
              <w:jc w:val="left"/>
              <w:rPr>
                <w:rFonts w:ascii="宋体" w:hAnsi="宋体" w:cs="宋体"/>
                <w:color w:val="auto"/>
                <w:kern w:val="0"/>
                <w:sz w:val="21"/>
                <w:szCs w:val="21"/>
                <w:highlight w:val="none"/>
              </w:rPr>
            </w:pPr>
            <w:r>
              <w:rPr>
                <w:rFonts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86" w:hRule="atLeast"/>
          <w:jc w:val="center"/>
        </w:trPr>
        <w:tc>
          <w:tcPr>
            <w:tcW w:w="790" w:type="dxa"/>
            <w:vMerge w:val="continue"/>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39" w:type="dxa"/>
            <w:gridSpan w:val="2"/>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第六</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学期</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86"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40"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Ⅲ☆</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3"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4"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8"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0"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72"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444" w:type="dxa"/>
            <w:tcBorders>
              <w:bottom w:val="single" w:color="auto" w:sz="4"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15" w:hRule="atLeast"/>
          <w:jc w:val="center"/>
        </w:trPr>
        <w:tc>
          <w:tcPr>
            <w:tcW w:w="9278" w:type="dxa"/>
            <w:gridSpan w:val="30"/>
            <w:tcBorders>
              <w:top w:val="single" w:color="auto" w:sz="6" w:space="0"/>
            </w:tcBorders>
            <w:vAlign w:val="center"/>
          </w:tcPr>
          <w:p>
            <w:pPr>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说明：●--入学或毕业教育；★--军训；□--课堂教学；▲--课程设计；×--校内实习、实训；Ⅰ--认识实习；Ⅱ--跟岗实习；Ⅲ--顶岗（毕业）实习；☆--毕业设计(论文)；∽--毕业答辩；◎--实习补假；：--考试；〓--假期</w:t>
            </w:r>
            <w:r>
              <w:rPr>
                <w:rFonts w:ascii="宋体" w:hAnsi="宋体" w:cs="宋体"/>
                <w:color w:val="auto"/>
                <w:kern w:val="0"/>
                <w:sz w:val="21"/>
                <w:szCs w:val="21"/>
                <w:highlight w:val="none"/>
              </w:rPr>
              <w:t>：○---社会实践</w:t>
            </w:r>
            <w:r>
              <w:rPr>
                <w:rFonts w:hint="eastAsia" w:ascii="宋体" w:hAnsi="宋体" w:cs="宋体"/>
                <w:color w:val="auto"/>
                <w:kern w:val="0"/>
                <w:sz w:val="21"/>
                <w:szCs w:val="21"/>
                <w:highlight w:val="none"/>
              </w:rPr>
              <w:t>。</w:t>
            </w:r>
          </w:p>
        </w:tc>
      </w:tr>
    </w:tbl>
    <w:p>
      <w:pPr>
        <w:ind w:firstLine="0" w:firstLineChars="0"/>
        <w:jc w:val="center"/>
        <w:rPr>
          <w:rFonts w:ascii="宋体" w:hAnsi="宋体" w:cs="宋体"/>
          <w:b/>
          <w:color w:val="auto"/>
          <w:kern w:val="0"/>
          <w:highlight w:val="none"/>
        </w:rPr>
      </w:pPr>
    </w:p>
    <w:p>
      <w:pPr>
        <w:spacing w:line="240" w:lineRule="auto"/>
        <w:ind w:firstLine="422"/>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创新创业等素质教育学分安排表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633"/>
        <w:gridCol w:w="434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类别</w:t>
            </w:r>
          </w:p>
        </w:tc>
        <w:tc>
          <w:tcPr>
            <w:tcW w:w="685"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学分</w:t>
            </w:r>
          </w:p>
        </w:tc>
        <w:tc>
          <w:tcPr>
            <w:tcW w:w="4738"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活动</w:t>
            </w:r>
          </w:p>
        </w:tc>
        <w:tc>
          <w:tcPr>
            <w:tcW w:w="1622"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创新创业素质</w:t>
            </w:r>
          </w:p>
        </w:tc>
        <w:tc>
          <w:tcPr>
            <w:tcW w:w="685"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10</w:t>
            </w:r>
          </w:p>
        </w:tc>
        <w:tc>
          <w:tcPr>
            <w:tcW w:w="4738" w:type="dxa"/>
            <w:vAlign w:val="center"/>
          </w:tcPr>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创新创业大赛</w:t>
            </w:r>
            <w:r>
              <w:rPr>
                <w:rFonts w:hint="eastAsia" w:ascii="宋体" w:hAnsi="宋体" w:cs="宋体"/>
                <w:color w:val="auto"/>
                <w:kern w:val="0"/>
                <w:sz w:val="21"/>
                <w:szCs w:val="21"/>
                <w:highlight w:val="none"/>
              </w:rPr>
              <w:t>：学生可参加电子商务技能大赛、移动商务大赛、“互联网+”大学生创新创业大赛、“挑战杯”大学生学术科技大赛、“彩虹人生”创新创业创效等大赛等</w:t>
            </w:r>
          </w:p>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创新创业活动</w:t>
            </w:r>
            <w:r>
              <w:rPr>
                <w:rFonts w:hint="eastAsia" w:ascii="宋体" w:hAnsi="宋体" w:cs="宋体"/>
                <w:color w:val="auto"/>
                <w:kern w:val="0"/>
                <w:sz w:val="21"/>
                <w:szCs w:val="21"/>
                <w:highlight w:val="none"/>
              </w:rPr>
              <w:t>：参加科研讲座、创新意识和开发设计能力训练、创新创业培训、专业教师创新创业项目运营；和各类参加企业培训等活动</w:t>
            </w:r>
          </w:p>
          <w:p>
            <w:pPr>
              <w:widowControl/>
              <w:spacing w:line="240" w:lineRule="auto"/>
              <w:ind w:firstLine="0" w:firstLineChars="0"/>
              <w:jc w:val="left"/>
              <w:rPr>
                <w:rFonts w:ascii="宋体" w:hAnsi="宋体" w:cs="宋体"/>
                <w:bCs/>
                <w:color w:val="auto"/>
                <w:kern w:val="0"/>
                <w:sz w:val="21"/>
                <w:szCs w:val="21"/>
                <w:highlight w:val="none"/>
              </w:rPr>
            </w:pPr>
            <w:r>
              <w:rPr>
                <w:rFonts w:hint="eastAsia" w:ascii="宋体" w:hAnsi="宋体" w:cs="宋体"/>
                <w:color w:val="auto"/>
                <w:kern w:val="0"/>
                <w:sz w:val="21"/>
                <w:szCs w:val="21"/>
                <w:highlight w:val="none"/>
              </w:rPr>
              <w:t>科研发明：参与各类科技发明，申报专利，申报大学生科研课题、参与教师科研课题等</w:t>
            </w:r>
          </w:p>
        </w:tc>
        <w:tc>
          <w:tcPr>
            <w:tcW w:w="1622" w:type="dxa"/>
            <w:vAlign w:val="center"/>
          </w:tcPr>
          <w:p>
            <w:pPr>
              <w:widowControl/>
              <w:spacing w:line="240" w:lineRule="auto"/>
              <w:ind w:firstLine="0" w:firstLineChars="0"/>
              <w:jc w:val="center"/>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思想素质</w:t>
            </w:r>
          </w:p>
        </w:tc>
        <w:tc>
          <w:tcPr>
            <w:tcW w:w="685"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30</w:t>
            </w:r>
          </w:p>
        </w:tc>
        <w:tc>
          <w:tcPr>
            <w:tcW w:w="4738" w:type="dxa"/>
          </w:tcPr>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党校、团校培训；思想政治教育主题活动；志愿服务；社会实践；见义勇为、好人好事等；获得表彰；遵章守纪等</w:t>
            </w:r>
          </w:p>
        </w:tc>
        <w:tc>
          <w:tcPr>
            <w:tcW w:w="1622" w:type="dxa"/>
            <w:vAlign w:val="center"/>
          </w:tcPr>
          <w:p>
            <w:pPr>
              <w:widowControl/>
              <w:spacing w:line="240" w:lineRule="auto"/>
              <w:ind w:firstLine="0" w:firstLineChars="0"/>
              <w:jc w:val="center"/>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文化素质</w:t>
            </w:r>
          </w:p>
        </w:tc>
        <w:tc>
          <w:tcPr>
            <w:tcW w:w="685"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30</w:t>
            </w:r>
          </w:p>
        </w:tc>
        <w:tc>
          <w:tcPr>
            <w:tcW w:w="4738"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color w:val="auto"/>
                <w:kern w:val="0"/>
                <w:sz w:val="21"/>
                <w:szCs w:val="21"/>
                <w:highlight w:val="none"/>
              </w:rPr>
              <w:t>工院论坛、专业讲座；迎新晚会、大学生科技文化艺术节、大学生社团文化节、公寓文化艺术节、读书月、参加文学文艺类社团活动、其他文化艺术活动</w:t>
            </w:r>
          </w:p>
        </w:tc>
        <w:tc>
          <w:tcPr>
            <w:tcW w:w="1622" w:type="dxa"/>
            <w:vAlign w:val="center"/>
          </w:tcPr>
          <w:p>
            <w:pPr>
              <w:widowControl/>
              <w:spacing w:line="240" w:lineRule="auto"/>
              <w:ind w:firstLine="0" w:firstLineChars="0"/>
              <w:jc w:val="center"/>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身心素质</w:t>
            </w:r>
          </w:p>
        </w:tc>
        <w:tc>
          <w:tcPr>
            <w:tcW w:w="685"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20</w:t>
            </w:r>
          </w:p>
        </w:tc>
        <w:tc>
          <w:tcPr>
            <w:tcW w:w="4738" w:type="dxa"/>
            <w:vAlign w:val="center"/>
          </w:tcPr>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大运会开幕式表演；大运会运动员、裁判；校园体操比赛；参加体育健身类社团活动；其他体育健身类活动；心理健康主题活动；心理委员培训；其他心理健康活动</w:t>
            </w:r>
          </w:p>
        </w:tc>
        <w:tc>
          <w:tcPr>
            <w:tcW w:w="1622" w:type="dxa"/>
            <w:vAlign w:val="center"/>
          </w:tcPr>
          <w:p>
            <w:pPr>
              <w:widowControl/>
              <w:spacing w:line="240" w:lineRule="auto"/>
              <w:ind w:firstLine="0" w:firstLineChars="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职场素质</w:t>
            </w:r>
          </w:p>
        </w:tc>
        <w:tc>
          <w:tcPr>
            <w:tcW w:w="685" w:type="dxa"/>
            <w:vAlign w:val="center"/>
          </w:tcPr>
          <w:p>
            <w:pPr>
              <w:widowControl/>
              <w:spacing w:line="240" w:lineRule="auto"/>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10</w:t>
            </w:r>
          </w:p>
        </w:tc>
        <w:tc>
          <w:tcPr>
            <w:tcW w:w="4738" w:type="dxa"/>
            <w:vAlign w:val="center"/>
          </w:tcPr>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语言与计算机类考级证书；职业技能证书；专利证书、软件著作权；公开出版的省级艺术、文学作品；公开出版的国家级艺术、文学作品；就业服务月系列活动；职业技能竞赛</w:t>
            </w:r>
          </w:p>
        </w:tc>
        <w:tc>
          <w:tcPr>
            <w:tcW w:w="1622" w:type="dxa"/>
            <w:vAlign w:val="center"/>
          </w:tcPr>
          <w:p>
            <w:pPr>
              <w:widowControl/>
              <w:spacing w:line="240" w:lineRule="auto"/>
              <w:ind w:firstLine="0" w:firstLineChars="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42"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合计</w:t>
            </w:r>
          </w:p>
        </w:tc>
        <w:tc>
          <w:tcPr>
            <w:tcW w:w="685" w:type="dxa"/>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100</w:t>
            </w:r>
          </w:p>
        </w:tc>
        <w:tc>
          <w:tcPr>
            <w:tcW w:w="4738" w:type="dxa"/>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622" w:type="dxa"/>
            <w:vAlign w:val="center"/>
          </w:tcPr>
          <w:p>
            <w:pPr>
              <w:widowControl/>
              <w:spacing w:line="240" w:lineRule="auto"/>
              <w:ind w:firstLine="0" w:firstLineChars="0"/>
              <w:jc w:val="center"/>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287" w:type="dxa"/>
            <w:gridSpan w:val="4"/>
            <w:vAlign w:val="center"/>
          </w:tcPr>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注：本表中各项活动按照《素质学分认定办法》要求开设，超出学分要求的活动可以按照学院《学分认定及转换办法》进行学分转换。</w:t>
            </w:r>
          </w:p>
        </w:tc>
      </w:tr>
    </w:tbl>
    <w:p>
      <w:pPr>
        <w:keepNext/>
        <w:keepLines/>
        <w:spacing w:before="120" w:beforeLines="50" w:after="120" w:afterLines="50"/>
        <w:ind w:firstLine="562"/>
        <w:jc w:val="left"/>
        <w:rPr>
          <w:rFonts w:eastAsia="黑体"/>
          <w:color w:val="auto"/>
          <w:kern w:val="44"/>
          <w:highlight w:val="none"/>
        </w:rPr>
      </w:pPr>
      <w:r>
        <w:rPr>
          <w:rFonts w:hint="eastAsia" w:eastAsia="黑体"/>
          <w:b/>
          <w:bCs/>
          <w:color w:val="auto"/>
          <w:kern w:val="44"/>
          <w:sz w:val="28"/>
          <w:szCs w:val="28"/>
          <w:highlight w:val="none"/>
        </w:rPr>
        <w:t>八、保障措施</w:t>
      </w:r>
    </w:p>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（一）师资队伍</w:t>
      </w:r>
    </w:p>
    <w:p>
      <w:pPr>
        <w:ind w:firstLine="480"/>
        <w:rPr>
          <w:color w:val="auto"/>
          <w:highlight w:val="none"/>
        </w:rPr>
      </w:pPr>
      <w:r>
        <w:rPr>
          <w:rFonts w:hint="eastAsia"/>
          <w:color w:val="auto"/>
          <w:highlight w:val="none"/>
        </w:rPr>
        <w:t>根据电子商务专业人才培养目标及专业教学特征，本专业师资配备应达到校企合作专兼结合的要求。从事本专业教学的专任教师应身心健康，具有良好的师德师风，精通电子商务专业理论、熟悉电子商务的基本技能、掌握电子商务运行的基本规律和基本规范，具有较强的组织教学的能力和科研能力，具有电子商务相关企业实践经历，能够指导学生实习实训。</w:t>
      </w:r>
    </w:p>
    <w:p>
      <w:pPr>
        <w:ind w:firstLine="480"/>
        <w:rPr>
          <w:color w:val="auto"/>
          <w:highlight w:val="none"/>
        </w:rPr>
      </w:pPr>
      <w:r>
        <w:rPr>
          <w:color w:val="auto"/>
          <w:highlight w:val="none"/>
        </w:rPr>
        <w:t>1.队伍结构</w:t>
      </w:r>
    </w:p>
    <w:p>
      <w:pPr>
        <w:ind w:firstLine="480"/>
        <w:rPr>
          <w:color w:val="auto"/>
          <w:highlight w:val="none"/>
        </w:rPr>
      </w:pPr>
      <w:r>
        <w:rPr>
          <w:color w:val="auto"/>
          <w:highlight w:val="none"/>
        </w:rPr>
        <w:t>学生数与本专业专任教师数比例不高于25:1，双师素质教师占专业教师比例一般不低于60%，专任教师队伍要考虑职称、年龄，形成合理的梯队结构。</w:t>
      </w:r>
    </w:p>
    <w:p>
      <w:pPr>
        <w:ind w:firstLine="480"/>
        <w:rPr>
          <w:color w:val="auto"/>
          <w:highlight w:val="none"/>
        </w:rPr>
      </w:pPr>
      <w:r>
        <w:rPr>
          <w:color w:val="auto"/>
          <w:highlight w:val="none"/>
        </w:rPr>
        <w:t>2.专任教师</w:t>
      </w:r>
    </w:p>
    <w:p>
      <w:pPr>
        <w:ind w:firstLine="480"/>
        <w:rPr>
          <w:color w:val="auto"/>
          <w:highlight w:val="none"/>
        </w:rPr>
      </w:pPr>
      <w:r>
        <w:rPr>
          <w:color w:val="auto"/>
          <w:highlight w:val="none"/>
        </w:rPr>
        <w:t>专任教师应具有高校教师资格；有理想信念、有道德情操、有扎实学识、有仁爱之心；具有扎实的本专业相关理论功底和实践能力；具有较强信息化教学能力，能够开展课程教学改革和科学研究；有每5年累计不少于6个月的企业实践经历。</w:t>
      </w:r>
      <w:r>
        <w:rPr>
          <w:rFonts w:hint="eastAsia"/>
          <w:color w:val="auto"/>
          <w:highlight w:val="none"/>
        </w:rPr>
        <w:t>从事本专业教学的专任教师应精通电子商务专业理论、熟悉电子商务的基本技能、掌握电子商务运行的基本规律和基本规范，具有较强的组织教学的能力和科研能力，具有电子商务相关企业实践经历，能够指导学生实习实训。</w:t>
      </w:r>
    </w:p>
    <w:p>
      <w:pPr>
        <w:ind w:firstLine="480"/>
        <w:rPr>
          <w:color w:val="auto"/>
          <w:highlight w:val="none"/>
        </w:rPr>
      </w:pPr>
      <w:r>
        <w:rPr>
          <w:color w:val="auto"/>
          <w:highlight w:val="none"/>
        </w:rPr>
        <w:t>3.专业带头人</w:t>
      </w:r>
    </w:p>
    <w:p>
      <w:pPr>
        <w:ind w:firstLine="480"/>
        <w:rPr>
          <w:color w:val="auto"/>
          <w:highlight w:val="none"/>
        </w:rPr>
      </w:pPr>
      <w:r>
        <w:rPr>
          <w:color w:val="auto"/>
          <w:highlight w:val="none"/>
        </w:rPr>
        <w:t>专业带头人原则上应具有副高及以上职称，能够较好地把握国内外电子商务行业、专业发展，能广泛联系行业企业，了解行业企业对本专业人才的需求实际，教学设计、专业研究能力强，组织开展教科研工作能力强，在本区域或本领域具有一定的专业影响力。</w:t>
      </w:r>
    </w:p>
    <w:p>
      <w:pPr>
        <w:ind w:firstLine="480"/>
        <w:rPr>
          <w:color w:val="auto"/>
          <w:highlight w:val="none"/>
        </w:rPr>
      </w:pPr>
      <w:r>
        <w:rPr>
          <w:color w:val="auto"/>
          <w:highlight w:val="none"/>
        </w:rPr>
        <w:t>4.兼职教师</w:t>
      </w:r>
      <w:bookmarkStart w:id="1" w:name="_GoBack"/>
      <w:bookmarkEnd w:id="1"/>
    </w:p>
    <w:p>
      <w:pPr>
        <w:ind w:firstLine="480"/>
        <w:rPr>
          <w:color w:val="auto"/>
          <w:highlight w:val="none"/>
        </w:rPr>
      </w:pPr>
      <w:r>
        <w:rPr>
          <w:color w:val="auto"/>
          <w:highlight w:val="none"/>
        </w:rPr>
        <w:t>兼职教师主要从本专业相关的行业企业聘任，具备良好的思想政治素质、职业道德和工匠精神，具有扎实的专业知识和丰富的实际工作经验，具有中级及以上相关专业职称或担任相应行业企业中层以上管理岗位，能承担专业课程教学、实习实训指导和学生职业发展规划指导等教学任务。</w:t>
      </w:r>
      <w:r>
        <w:rPr>
          <w:rFonts w:hint="eastAsia"/>
          <w:color w:val="auto"/>
          <w:highlight w:val="none"/>
        </w:rPr>
        <w:t>充分发挥网络技术优势，将实现跨地区，跨时间、跨空间实现网络教育，选择行业内容100强企业管理人员、行业优秀获奖者、知名院校优秀专业教师等规划网络教学。</w:t>
      </w:r>
    </w:p>
    <w:p>
      <w:pPr>
        <w:ind w:firstLine="480"/>
        <w:rPr>
          <w:color w:val="auto"/>
          <w:highlight w:val="none"/>
        </w:rPr>
      </w:pPr>
      <w:r>
        <w:rPr>
          <w:rFonts w:hint="eastAsia"/>
          <w:color w:val="auto"/>
          <w:highlight w:val="none"/>
        </w:rPr>
        <w:t>5.课程研发教师</w:t>
      </w:r>
    </w:p>
    <w:p>
      <w:pPr>
        <w:ind w:firstLine="480"/>
        <w:rPr>
          <w:color w:val="auto"/>
          <w:highlight w:val="none"/>
        </w:rPr>
      </w:pPr>
      <w:r>
        <w:rPr>
          <w:rFonts w:hint="eastAsia"/>
          <w:color w:val="auto"/>
          <w:highlight w:val="none"/>
        </w:rPr>
        <w:t>课程研发教师需要是从行业群领域从事相关职业群5年以上工作经验，在行业内出在处于中高层管理职位，对行业和专用领域有深度了解，对教学课程中需要加强培养的能力、素质、技能、证书等有明确的了解，并且具备教学资料，教学案例整编能力，能充分的为本专业培养提供课程研发的能力。</w:t>
      </w:r>
    </w:p>
    <w:tbl>
      <w:tblPr>
        <w:tblStyle w:val="4"/>
        <w:tblW w:w="512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2"/>
        <w:gridCol w:w="668"/>
        <w:gridCol w:w="1713"/>
        <w:gridCol w:w="610"/>
        <w:gridCol w:w="2011"/>
        <w:gridCol w:w="609"/>
        <w:gridCol w:w="19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blHeader/>
          <w:jc w:val="center"/>
        </w:trPr>
        <w:tc>
          <w:tcPr>
            <w:tcW w:w="1212" w:type="dxa"/>
            <w:vMerge w:val="restart"/>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程名称</w:t>
            </w:r>
          </w:p>
        </w:tc>
        <w:tc>
          <w:tcPr>
            <w:tcW w:w="2381" w:type="dxa"/>
            <w:gridSpan w:val="2"/>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专任教师配置要求</w:t>
            </w:r>
          </w:p>
        </w:tc>
        <w:tc>
          <w:tcPr>
            <w:tcW w:w="2621" w:type="dxa"/>
            <w:gridSpan w:val="2"/>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兼职教师配置要求</w:t>
            </w:r>
          </w:p>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（线上课程）</w:t>
            </w:r>
          </w:p>
        </w:tc>
        <w:tc>
          <w:tcPr>
            <w:tcW w:w="2517" w:type="dxa"/>
            <w:gridSpan w:val="2"/>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课程研发教师配置要求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blHeader/>
          <w:jc w:val="center"/>
        </w:trPr>
        <w:tc>
          <w:tcPr>
            <w:tcW w:w="1212" w:type="dxa"/>
            <w:vMerge w:val="continue"/>
            <w:vAlign w:val="center"/>
          </w:tcPr>
          <w:p>
            <w:pPr>
              <w:widowControl/>
              <w:spacing w:line="240" w:lineRule="auto"/>
              <w:ind w:firstLine="0" w:firstLineChars="0"/>
              <w:jc w:val="center"/>
              <w:rPr>
                <w:rFonts w:ascii="宋体" w:hAnsi="宋体" w:cs="宋体"/>
                <w:b/>
                <w:bCs/>
                <w:color w:val="auto"/>
                <w:kern w:val="0"/>
                <w:sz w:val="21"/>
                <w:highlight w:val="none"/>
              </w:rPr>
            </w:pPr>
          </w:p>
        </w:tc>
        <w:tc>
          <w:tcPr>
            <w:tcW w:w="668" w:type="dxa"/>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数量</w:t>
            </w:r>
          </w:p>
        </w:tc>
        <w:tc>
          <w:tcPr>
            <w:tcW w:w="1713" w:type="dxa"/>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基本要求</w:t>
            </w:r>
          </w:p>
        </w:tc>
        <w:tc>
          <w:tcPr>
            <w:tcW w:w="610" w:type="dxa"/>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数量</w:t>
            </w:r>
          </w:p>
        </w:tc>
        <w:tc>
          <w:tcPr>
            <w:tcW w:w="2011" w:type="dxa"/>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基本要求</w:t>
            </w:r>
          </w:p>
        </w:tc>
        <w:tc>
          <w:tcPr>
            <w:tcW w:w="609" w:type="dxa"/>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数量</w:t>
            </w:r>
          </w:p>
        </w:tc>
        <w:tc>
          <w:tcPr>
            <w:tcW w:w="1908" w:type="dxa"/>
            <w:vAlign w:val="center"/>
          </w:tcPr>
          <w:p>
            <w:pPr>
              <w:widowControl/>
              <w:spacing w:line="240" w:lineRule="auto"/>
              <w:ind w:firstLine="0" w:firstLineChars="0"/>
              <w:jc w:val="center"/>
              <w:rPr>
                <w:rFonts w:ascii="宋体" w:hAnsi="宋体" w:cs="宋体"/>
                <w:b/>
                <w:bCs/>
                <w:color w:val="auto"/>
                <w:kern w:val="0"/>
                <w:sz w:val="21"/>
                <w:highlight w:val="none"/>
              </w:rPr>
            </w:pPr>
            <w:r>
              <w:rPr>
                <w:rFonts w:hint="eastAsia" w:ascii="宋体" w:hAnsi="宋体" w:cs="宋体"/>
                <w:b/>
                <w:bCs/>
                <w:color w:val="auto"/>
                <w:kern w:val="0"/>
                <w:sz w:val="21"/>
                <w:highlight w:val="none"/>
              </w:rPr>
              <w:t>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212"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电商运营</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移动电子商务</w:t>
            </w:r>
          </w:p>
          <w:p>
            <w:pPr>
              <w:widowControl/>
              <w:spacing w:line="240" w:lineRule="auto"/>
              <w:ind w:firstLine="0" w:firstLineChars="0"/>
              <w:jc w:val="left"/>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数据化运营</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内容营销</w:t>
            </w:r>
          </w:p>
        </w:tc>
        <w:tc>
          <w:tcPr>
            <w:tcW w:w="668" w:type="dxa"/>
            <w:vAlign w:val="center"/>
          </w:tcPr>
          <w:p>
            <w:pPr>
              <w:widowControl/>
              <w:spacing w:line="240" w:lineRule="auto"/>
              <w:ind w:firstLine="0" w:firstLineChars="0"/>
              <w:jc w:val="center"/>
              <w:rPr>
                <w:rFonts w:ascii="宋体" w:hAnsi="宋体" w:cs="宋体"/>
                <w:color w:val="auto"/>
                <w:kern w:val="0"/>
                <w:sz w:val="21"/>
                <w:highlight w:val="none"/>
              </w:rPr>
            </w:pPr>
            <w:r>
              <w:rPr>
                <w:rFonts w:hint="eastAsia" w:ascii="宋体" w:hAnsi="宋体" w:cs="宋体"/>
                <w:color w:val="auto"/>
                <w:sz w:val="21"/>
                <w:highlight w:val="none"/>
              </w:rPr>
              <w:t>2-3</w:t>
            </w:r>
          </w:p>
        </w:tc>
        <w:tc>
          <w:tcPr>
            <w:tcW w:w="1713"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1.熟悉电子商务平台运作流程与规则</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2.具有电子商务运营经验以及网店推广营销实战经验</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3.具备店铺优化的完整理论和实操方案</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4.具有客户分析、用户分析经验,熟练使用分析工具</w:t>
            </w:r>
          </w:p>
        </w:tc>
        <w:tc>
          <w:tcPr>
            <w:tcW w:w="610" w:type="dxa"/>
            <w:vAlign w:val="center"/>
          </w:tcPr>
          <w:p>
            <w:pPr>
              <w:widowControl/>
              <w:spacing w:line="240" w:lineRule="auto"/>
              <w:ind w:firstLine="0" w:firstLineChars="0"/>
              <w:jc w:val="center"/>
              <w:rPr>
                <w:rFonts w:ascii="宋体" w:hAnsi="宋体" w:cs="宋体"/>
                <w:color w:val="auto"/>
                <w:kern w:val="0"/>
                <w:sz w:val="21"/>
                <w:highlight w:val="none"/>
              </w:rPr>
            </w:pPr>
            <w:r>
              <w:rPr>
                <w:rFonts w:ascii="宋体" w:hAnsi="宋体" w:cs="宋体"/>
                <w:color w:val="auto"/>
                <w:kern w:val="0"/>
                <w:sz w:val="21"/>
                <w:highlight w:val="none"/>
              </w:rPr>
              <w:t>2</w:t>
            </w:r>
            <w:r>
              <w:rPr>
                <w:rFonts w:hint="eastAsia" w:ascii="宋体" w:hAnsi="宋体" w:cs="宋体"/>
                <w:color w:val="auto"/>
                <w:kern w:val="0"/>
                <w:sz w:val="21"/>
                <w:highlight w:val="none"/>
              </w:rPr>
              <w:t>-</w:t>
            </w:r>
            <w:r>
              <w:rPr>
                <w:rFonts w:ascii="宋体" w:hAnsi="宋体" w:cs="宋体"/>
                <w:color w:val="auto"/>
                <w:kern w:val="0"/>
                <w:sz w:val="21"/>
                <w:highlight w:val="none"/>
              </w:rPr>
              <w:t>3</w:t>
            </w:r>
          </w:p>
        </w:tc>
        <w:tc>
          <w:tcPr>
            <w:tcW w:w="2011"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kern w:val="0"/>
                <w:sz w:val="21"/>
                <w:highlight w:val="none"/>
              </w:rPr>
              <w:t>1、电子商务</w:t>
            </w:r>
            <w:r>
              <w:rPr>
                <w:rFonts w:ascii="宋体" w:hAnsi="宋体" w:cs="宋体"/>
                <w:color w:val="auto"/>
                <w:kern w:val="0"/>
                <w:sz w:val="21"/>
                <w:highlight w:val="none"/>
              </w:rPr>
              <w:t>互联网100强企业，大区以上管理职位，具有较高的互联网综合专业知识，</w:t>
            </w:r>
            <w:r>
              <w:rPr>
                <w:rFonts w:hint="eastAsia" w:ascii="宋体" w:hAnsi="宋体" w:cs="宋体"/>
                <w:color w:val="auto"/>
                <w:sz w:val="21"/>
                <w:highlight w:val="none"/>
              </w:rPr>
              <w:t>有较好的教学组织能力</w:t>
            </w:r>
          </w:p>
          <w:p>
            <w:pPr>
              <w:widowControl/>
              <w:spacing w:line="240" w:lineRule="auto"/>
              <w:ind w:firstLine="0" w:firstLineChars="0"/>
              <w:jc w:val="left"/>
              <w:rPr>
                <w:rFonts w:ascii="宋体" w:hAnsi="宋体" w:cs="宋体"/>
                <w:color w:val="auto"/>
                <w:kern w:val="0"/>
                <w:sz w:val="21"/>
                <w:highlight w:val="none"/>
              </w:rPr>
            </w:pPr>
            <w:r>
              <w:rPr>
                <w:rFonts w:hint="eastAsia" w:ascii="宋体" w:hAnsi="宋体" w:cs="宋体"/>
                <w:color w:val="auto"/>
                <w:kern w:val="0"/>
                <w:sz w:val="21"/>
                <w:highlight w:val="none"/>
              </w:rPr>
              <w:t>2</w:t>
            </w:r>
            <w:r>
              <w:rPr>
                <w:rFonts w:ascii="宋体" w:hAnsi="宋体" w:cs="宋体"/>
                <w:color w:val="auto"/>
                <w:kern w:val="0"/>
                <w:sz w:val="21"/>
                <w:highlight w:val="none"/>
              </w:rPr>
              <w:t>、聘请</w:t>
            </w:r>
            <w:r>
              <w:rPr>
                <w:rFonts w:hint="eastAsia" w:ascii="宋体" w:hAnsi="宋体" w:cs="宋体"/>
                <w:color w:val="auto"/>
                <w:kern w:val="0"/>
                <w:sz w:val="21"/>
                <w:highlight w:val="none"/>
              </w:rPr>
              <w:t>优秀</w:t>
            </w:r>
            <w:r>
              <w:rPr>
                <w:rFonts w:ascii="宋体" w:hAnsi="宋体" w:cs="宋体"/>
                <w:color w:val="auto"/>
                <w:kern w:val="0"/>
                <w:sz w:val="21"/>
                <w:highlight w:val="none"/>
              </w:rPr>
              <w:t>院校专职教师，电子商务专业教师作为线上授课教师，具备较高网络教学组织能力</w:t>
            </w:r>
          </w:p>
        </w:tc>
        <w:tc>
          <w:tcPr>
            <w:tcW w:w="609"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kern w:val="0"/>
                <w:sz w:val="21"/>
                <w:highlight w:val="none"/>
              </w:rPr>
              <w:t>1-2</w:t>
            </w:r>
          </w:p>
        </w:tc>
        <w:tc>
          <w:tcPr>
            <w:tcW w:w="190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有电子商务相关经验8年以上，当下从事电子商务行业，经营2家以上电子商务平台属于并头部商家，并担任公司中高层以上管理职位，掌握当下最新电商发展需求和未来3-5年电商发展趋势。有完善的教学资料整编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212"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PS图像处理</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网页美工设计</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电商美工综合应用</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电商视觉营销</w:t>
            </w:r>
          </w:p>
        </w:tc>
        <w:tc>
          <w:tcPr>
            <w:tcW w:w="66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2-3</w:t>
            </w:r>
          </w:p>
        </w:tc>
        <w:tc>
          <w:tcPr>
            <w:tcW w:w="1713"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1.精通电子商务业务</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2.能利用工具和软件拍摄图片和进行图片美化</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3.具备网店装修、视觉营销等知识能力</w:t>
            </w:r>
          </w:p>
        </w:tc>
        <w:tc>
          <w:tcPr>
            <w:tcW w:w="610"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1-2</w:t>
            </w:r>
          </w:p>
        </w:tc>
        <w:tc>
          <w:tcPr>
            <w:tcW w:w="2011"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w:t>
            </w:r>
            <w:r>
              <w:rPr>
                <w:rFonts w:ascii="宋体" w:hAnsi="宋体" w:cs="宋体"/>
                <w:color w:val="auto"/>
                <w:sz w:val="21"/>
                <w:highlight w:val="none"/>
              </w:rPr>
              <w:t>有电商广告设计或网络广告投放相关经验5年以上，当下从事电商广告设计工作并担任中大型广告公司中高层以上管理职位</w:t>
            </w:r>
            <w:r>
              <w:rPr>
                <w:rFonts w:hint="eastAsia" w:ascii="宋体" w:hAnsi="宋体" w:cs="宋体"/>
                <w:color w:val="auto"/>
                <w:sz w:val="21"/>
                <w:highlight w:val="none"/>
              </w:rPr>
              <w:t>，</w:t>
            </w:r>
            <w:r>
              <w:rPr>
                <w:rFonts w:ascii="宋体" w:hAnsi="宋体" w:cs="宋体"/>
                <w:color w:val="auto"/>
                <w:sz w:val="21"/>
                <w:highlight w:val="none"/>
              </w:rPr>
              <w:t>有完善的教学资料整编能力</w:t>
            </w:r>
            <w:r>
              <w:rPr>
                <w:rFonts w:hint="eastAsia" w:ascii="宋体" w:hAnsi="宋体" w:cs="宋体"/>
                <w:color w:val="auto"/>
                <w:sz w:val="21"/>
                <w:highlight w:val="none"/>
              </w:rPr>
              <w:t>。</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2</w:t>
            </w:r>
            <w:r>
              <w:rPr>
                <w:rFonts w:ascii="宋体" w:hAnsi="宋体" w:cs="宋体"/>
                <w:color w:val="auto"/>
                <w:sz w:val="21"/>
                <w:highlight w:val="none"/>
              </w:rPr>
              <w:t>、聘请省级以上艺术类获奖者，具有优秀电子商务类广告制作能力，具备较好的就教学组织能力。</w:t>
            </w:r>
          </w:p>
        </w:tc>
        <w:tc>
          <w:tcPr>
            <w:tcW w:w="609"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1-2</w:t>
            </w:r>
          </w:p>
        </w:tc>
        <w:tc>
          <w:tcPr>
            <w:tcW w:w="190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有</w:t>
            </w:r>
            <w:r>
              <w:rPr>
                <w:rFonts w:ascii="宋体" w:hAnsi="宋体" w:cs="宋体"/>
                <w:color w:val="auto"/>
                <w:sz w:val="21"/>
                <w:highlight w:val="none"/>
              </w:rPr>
              <w:t>网页广告</w:t>
            </w:r>
            <w:r>
              <w:rPr>
                <w:rFonts w:hint="eastAsia" w:ascii="宋体" w:hAnsi="宋体" w:cs="宋体"/>
                <w:color w:val="auto"/>
                <w:sz w:val="21"/>
                <w:highlight w:val="none"/>
              </w:rPr>
              <w:t>设计相关经验10年以上，当下从事广告设计工作并担任中大型广告设计公司中高层以上管理职位，掌握当下最新</w:t>
            </w:r>
            <w:r>
              <w:rPr>
                <w:rFonts w:ascii="宋体" w:hAnsi="宋体" w:cs="宋体"/>
                <w:color w:val="auto"/>
                <w:sz w:val="21"/>
                <w:highlight w:val="none"/>
              </w:rPr>
              <w:t>网页或电视广告</w:t>
            </w:r>
            <w:r>
              <w:rPr>
                <w:rFonts w:hint="eastAsia" w:ascii="宋体" w:hAnsi="宋体" w:cs="宋体"/>
                <w:color w:val="auto"/>
                <w:sz w:val="21"/>
                <w:highlight w:val="none"/>
              </w:rPr>
              <w:t>广告设计发展需求和未来2-3年广告设计发展趋势。有完善的教学资料整编能力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212"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新媒体营销</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视频编辑制作与营销</w:t>
            </w:r>
          </w:p>
        </w:tc>
        <w:tc>
          <w:tcPr>
            <w:tcW w:w="66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1-2</w:t>
            </w:r>
          </w:p>
        </w:tc>
        <w:tc>
          <w:tcPr>
            <w:tcW w:w="1713"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1.具备新媒体营销知识</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2.能开展移动商务综合实训</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3.具有行业内较好的视频编辑制作水准,熟悉视频营销</w:t>
            </w:r>
          </w:p>
        </w:tc>
        <w:tc>
          <w:tcPr>
            <w:tcW w:w="610"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1-2</w:t>
            </w:r>
          </w:p>
        </w:tc>
        <w:tc>
          <w:tcPr>
            <w:tcW w:w="2011" w:type="dxa"/>
            <w:vAlign w:val="center"/>
          </w:tcPr>
          <w:p>
            <w:pPr>
              <w:widowControl/>
              <w:spacing w:line="240" w:lineRule="auto"/>
              <w:ind w:firstLine="0" w:firstLineChars="0"/>
              <w:jc w:val="left"/>
              <w:rPr>
                <w:rFonts w:ascii="宋体" w:hAnsi="宋体" w:cs="宋体"/>
                <w:color w:val="auto"/>
                <w:kern w:val="0"/>
                <w:sz w:val="21"/>
                <w:highlight w:val="none"/>
              </w:rPr>
            </w:pPr>
            <w:r>
              <w:rPr>
                <w:rFonts w:hint="eastAsia" w:ascii="宋体" w:hAnsi="宋体" w:cs="宋体"/>
                <w:color w:val="auto"/>
                <w:kern w:val="0"/>
                <w:sz w:val="21"/>
                <w:highlight w:val="none"/>
              </w:rPr>
              <w:t>1</w:t>
            </w:r>
            <w:r>
              <w:rPr>
                <w:rFonts w:ascii="宋体" w:hAnsi="宋体" w:cs="宋体"/>
                <w:color w:val="auto"/>
                <w:kern w:val="0"/>
                <w:sz w:val="21"/>
                <w:highlight w:val="none"/>
              </w:rPr>
              <w:t>、中国100强媒体，主编以上管理职位，具有较高的互联网综合专业知识，</w:t>
            </w:r>
            <w:r>
              <w:rPr>
                <w:rFonts w:hint="eastAsia" w:ascii="宋体" w:hAnsi="宋体" w:cs="宋体"/>
                <w:color w:val="auto"/>
                <w:sz w:val="21"/>
                <w:highlight w:val="none"/>
              </w:rPr>
              <w:t>有较好的教学组织能力</w:t>
            </w:r>
            <w:r>
              <w:rPr>
                <w:rFonts w:ascii="宋体" w:hAnsi="宋体" w:cs="宋体"/>
                <w:color w:val="auto"/>
                <w:sz w:val="21"/>
                <w:highlight w:val="none"/>
              </w:rPr>
              <w:t>。</w:t>
            </w:r>
            <w:r>
              <w:rPr>
                <w:rFonts w:hint="eastAsia" w:ascii="宋体" w:hAnsi="宋体" w:cs="宋体"/>
                <w:color w:val="auto"/>
                <w:kern w:val="0"/>
                <w:sz w:val="21"/>
                <w:highlight w:val="none"/>
              </w:rPr>
              <w:t>2</w:t>
            </w:r>
            <w:r>
              <w:rPr>
                <w:rFonts w:ascii="宋体" w:hAnsi="宋体" w:cs="宋体"/>
                <w:color w:val="auto"/>
                <w:kern w:val="0"/>
                <w:sz w:val="21"/>
                <w:highlight w:val="none"/>
              </w:rPr>
              <w:t>、聘请</w:t>
            </w:r>
            <w:r>
              <w:rPr>
                <w:rFonts w:hint="eastAsia" w:ascii="宋体" w:hAnsi="宋体" w:cs="宋体"/>
                <w:color w:val="auto"/>
                <w:kern w:val="0"/>
                <w:sz w:val="21"/>
                <w:highlight w:val="none"/>
              </w:rPr>
              <w:t>优秀</w:t>
            </w:r>
            <w:r>
              <w:rPr>
                <w:rFonts w:ascii="宋体" w:hAnsi="宋体" w:cs="宋体"/>
                <w:color w:val="auto"/>
                <w:kern w:val="0"/>
                <w:sz w:val="21"/>
                <w:highlight w:val="none"/>
              </w:rPr>
              <w:t>院校专职教师，媒体类专业教师作为线上授课教师，具备较高网络教学组织能力。</w:t>
            </w:r>
          </w:p>
        </w:tc>
        <w:tc>
          <w:tcPr>
            <w:tcW w:w="609"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1-2</w:t>
            </w:r>
          </w:p>
        </w:tc>
        <w:tc>
          <w:tcPr>
            <w:tcW w:w="190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有网络媒体相关经验10年以上，当下从事网络媒体工作并担任中大型网络媒体中高层以上管理职位，掌握当下最新网络媒体发展需求和未来2-3年网络媒体发展趋势。有完善的教学资料整编能力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212"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大学生创业指导、</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顶岗实习、毕业论文</w:t>
            </w:r>
          </w:p>
        </w:tc>
        <w:tc>
          <w:tcPr>
            <w:tcW w:w="66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5-10</w:t>
            </w:r>
          </w:p>
        </w:tc>
        <w:tc>
          <w:tcPr>
            <w:tcW w:w="1713" w:type="dxa"/>
            <w:vAlign w:val="center"/>
          </w:tcPr>
          <w:p>
            <w:pPr>
              <w:widowControl/>
              <w:numPr>
                <w:ilvl w:val="0"/>
                <w:numId w:val="1"/>
              </w:numPr>
              <w:spacing w:line="240" w:lineRule="auto"/>
              <w:ind w:firstLineChars="0"/>
              <w:jc w:val="left"/>
              <w:rPr>
                <w:rFonts w:ascii="宋体" w:hAnsi="宋体" w:cs="宋体"/>
                <w:color w:val="auto"/>
                <w:sz w:val="21"/>
                <w:highlight w:val="none"/>
              </w:rPr>
            </w:pPr>
            <w:r>
              <w:rPr>
                <w:rFonts w:hint="eastAsia" w:ascii="宋体" w:hAnsi="宋体" w:cs="宋体"/>
                <w:color w:val="auto"/>
                <w:sz w:val="21"/>
                <w:highlight w:val="none"/>
              </w:rPr>
              <w:t>具备双师素质2.具有一定的企业实践经历</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指导一届学生顶岗实习、毕业论文</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4.专心专业建设和课程建设</w:t>
            </w:r>
          </w:p>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5.师德水平高</w:t>
            </w:r>
          </w:p>
        </w:tc>
        <w:tc>
          <w:tcPr>
            <w:tcW w:w="610"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10-20</w:t>
            </w:r>
          </w:p>
        </w:tc>
        <w:tc>
          <w:tcPr>
            <w:tcW w:w="2011"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必须是在电子商务、</w:t>
            </w:r>
            <w:r>
              <w:rPr>
                <w:rFonts w:ascii="宋体" w:hAnsi="宋体" w:cs="宋体"/>
                <w:color w:val="auto"/>
                <w:sz w:val="21"/>
                <w:highlight w:val="none"/>
              </w:rPr>
              <w:t>数字化营销</w:t>
            </w:r>
            <w:r>
              <w:rPr>
                <w:rFonts w:hint="eastAsia" w:ascii="宋体" w:hAnsi="宋体" w:cs="宋体"/>
                <w:color w:val="auto"/>
                <w:sz w:val="21"/>
                <w:highlight w:val="none"/>
              </w:rPr>
              <w:t>方面有建树有经验的行业专家和实践专家；有本专业企业工作经历2年以上；学生实践指导、帮助专任教师提高实践技能、专业建设指导和课程开发指导等工作。</w:t>
            </w:r>
          </w:p>
        </w:tc>
        <w:tc>
          <w:tcPr>
            <w:tcW w:w="609"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3-5</w:t>
            </w:r>
          </w:p>
        </w:tc>
        <w:tc>
          <w:tcPr>
            <w:tcW w:w="1908" w:type="dxa"/>
            <w:vAlign w:val="center"/>
          </w:tcPr>
          <w:p>
            <w:pPr>
              <w:widowControl/>
              <w:spacing w:line="240" w:lineRule="auto"/>
              <w:ind w:firstLine="0" w:firstLineChars="0"/>
              <w:jc w:val="left"/>
              <w:rPr>
                <w:rFonts w:ascii="宋体" w:hAnsi="宋体" w:cs="宋体"/>
                <w:color w:val="auto"/>
                <w:sz w:val="21"/>
                <w:highlight w:val="none"/>
              </w:rPr>
            </w:pPr>
            <w:r>
              <w:rPr>
                <w:rFonts w:hint="eastAsia" w:ascii="宋体" w:hAnsi="宋体" w:cs="宋体"/>
                <w:color w:val="auto"/>
                <w:sz w:val="21"/>
                <w:highlight w:val="none"/>
              </w:rPr>
              <w:t>具有全球或全国中大型企业5年以上HR工作经验，对顶岗工作岗位基本需求与核心需求有明确的认识，对顶岗实训中人员的工作能力优缺点有明确判断，有完善的教学目标极成果总结能力。</w:t>
            </w:r>
          </w:p>
        </w:tc>
      </w:tr>
    </w:tbl>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（二）教学设施</w:t>
      </w:r>
    </w:p>
    <w:p>
      <w:pPr>
        <w:ind w:firstLine="480"/>
        <w:rPr>
          <w:rFonts w:asciiTheme="minorHAnsi" w:hAnsiTheme="minorHAnsi" w:cstheme="minorBidi"/>
          <w:bCs/>
          <w:color w:val="auto"/>
          <w:highlight w:val="none"/>
        </w:rPr>
      </w:pPr>
      <w:r>
        <w:rPr>
          <w:rFonts w:hint="eastAsia" w:asciiTheme="minorHAnsi" w:hAnsiTheme="minorHAnsi" w:cstheme="minorBidi"/>
          <w:bCs/>
          <w:color w:val="auto"/>
          <w:highlight w:val="none"/>
        </w:rPr>
        <w:t>教学设施主要包括能够满足正常的课程教学、实习实训所需的专业教室、校内实训室和校外实训基地等。</w:t>
      </w:r>
    </w:p>
    <w:p>
      <w:pPr>
        <w:ind w:firstLine="0" w:firstLineChars="0"/>
        <w:rPr>
          <w:rFonts w:ascii="宋体" w:hAnsi="宋体" w:cs="宋体"/>
          <w:bCs/>
          <w:color w:val="auto"/>
          <w:kern w:val="0"/>
          <w:highlight w:val="none"/>
        </w:rPr>
      </w:pPr>
      <w:r>
        <w:rPr>
          <w:rFonts w:hint="eastAsia" w:ascii="宋体" w:hAnsi="宋体" w:cs="宋体"/>
          <w:bCs/>
          <w:color w:val="auto"/>
          <w:kern w:val="0"/>
          <w:highlight w:val="none"/>
        </w:rPr>
        <w:t>实训条件配置如下表：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3256"/>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148" w:type="dxa"/>
            <w:vAlign w:val="center"/>
          </w:tcPr>
          <w:p>
            <w:pPr>
              <w:widowControl/>
              <w:spacing w:line="240" w:lineRule="auto"/>
              <w:ind w:firstLine="0" w:firstLineChars="0"/>
              <w:jc w:val="center"/>
              <w:rPr>
                <w:rFonts w:ascii="宋体" w:hAnsi="宋体" w:cstheme="minorBidi"/>
                <w:b/>
                <w:bCs/>
                <w:color w:val="auto"/>
                <w:kern w:val="0"/>
                <w:sz w:val="21"/>
                <w:szCs w:val="21"/>
                <w:highlight w:val="none"/>
              </w:rPr>
            </w:pPr>
            <w:r>
              <w:rPr>
                <w:rFonts w:hint="eastAsia" w:ascii="宋体" w:hAnsi="宋体" w:cstheme="minorBidi"/>
                <w:b/>
                <w:bCs/>
                <w:color w:val="auto"/>
                <w:kern w:val="0"/>
                <w:sz w:val="21"/>
                <w:szCs w:val="21"/>
                <w:highlight w:val="none"/>
              </w:rPr>
              <w:t>课程名称</w:t>
            </w:r>
          </w:p>
        </w:tc>
        <w:tc>
          <w:tcPr>
            <w:tcW w:w="3562" w:type="dxa"/>
            <w:vAlign w:val="center"/>
          </w:tcPr>
          <w:p>
            <w:pPr>
              <w:widowControl/>
              <w:spacing w:line="240" w:lineRule="auto"/>
              <w:ind w:firstLine="0" w:firstLineChars="0"/>
              <w:jc w:val="center"/>
              <w:rPr>
                <w:rFonts w:ascii="宋体" w:hAnsi="宋体" w:cstheme="minorBidi"/>
                <w:b/>
                <w:bCs/>
                <w:color w:val="auto"/>
                <w:kern w:val="0"/>
                <w:sz w:val="21"/>
                <w:szCs w:val="21"/>
                <w:highlight w:val="none"/>
              </w:rPr>
            </w:pPr>
            <w:r>
              <w:rPr>
                <w:rFonts w:hint="eastAsia" w:ascii="宋体" w:hAnsi="宋体" w:cstheme="minorBidi"/>
                <w:b/>
                <w:bCs/>
                <w:color w:val="auto"/>
                <w:kern w:val="0"/>
                <w:sz w:val="21"/>
                <w:szCs w:val="21"/>
                <w:highlight w:val="none"/>
              </w:rPr>
              <w:t>校内实训设备配置要求</w:t>
            </w:r>
          </w:p>
        </w:tc>
        <w:tc>
          <w:tcPr>
            <w:tcW w:w="3610" w:type="dxa"/>
            <w:vAlign w:val="center"/>
          </w:tcPr>
          <w:p>
            <w:pPr>
              <w:widowControl/>
              <w:spacing w:line="240" w:lineRule="auto"/>
              <w:ind w:firstLine="0" w:firstLineChars="0"/>
              <w:jc w:val="center"/>
              <w:rPr>
                <w:rFonts w:ascii="宋体" w:hAnsi="宋体" w:cstheme="minorBidi"/>
                <w:b/>
                <w:bCs/>
                <w:color w:val="auto"/>
                <w:kern w:val="0"/>
                <w:sz w:val="21"/>
                <w:szCs w:val="21"/>
                <w:highlight w:val="none"/>
              </w:rPr>
            </w:pPr>
            <w:r>
              <w:rPr>
                <w:rFonts w:hint="eastAsia" w:ascii="宋体" w:hAnsi="宋体" w:cstheme="minorBidi"/>
                <w:b/>
                <w:bCs/>
                <w:color w:val="auto"/>
                <w:kern w:val="0"/>
                <w:sz w:val="21"/>
                <w:szCs w:val="21"/>
                <w:highlight w:val="none"/>
              </w:rPr>
              <w:t>校外实训基地要求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48" w:type="dxa"/>
            <w:vAlign w:val="center"/>
          </w:tcPr>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网络商品拍摄与后期</w:t>
            </w:r>
          </w:p>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sz w:val="21"/>
                <w:szCs w:val="21"/>
                <w:highlight w:val="none"/>
              </w:rPr>
              <w:t>视频编辑制作与营销</w:t>
            </w:r>
          </w:p>
        </w:tc>
        <w:tc>
          <w:tcPr>
            <w:tcW w:w="3562" w:type="dxa"/>
            <w:vAlign w:val="center"/>
          </w:tcPr>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虚拟演播室</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1.数码相机和数码摄像机</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2.独脚架和三脚架等设备</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3.专业编辑软件</w:t>
            </w:r>
          </w:p>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sz w:val="21"/>
                <w:szCs w:val="21"/>
                <w:highlight w:val="none"/>
              </w:rPr>
              <w:t>4.存储及刻录设备、电视等</w:t>
            </w:r>
          </w:p>
        </w:tc>
        <w:tc>
          <w:tcPr>
            <w:tcW w:w="3610" w:type="dxa"/>
            <w:vAlign w:val="center"/>
          </w:tcPr>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1.100平米以上专业影棚，50平米以上后期制作办公场地，3种类型以上数码相机并配备全套拍摄镜头，2套以上专用摄影灯光组，5台以上专用图片或视频专用PC设备；</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2.公司具备独立的宣发渠道。</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3.配备1-2名专业辅助实训人员协助校方组织实训工作。</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4.大学创业园区提供办公环境、办公设备等软硬件支持。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48" w:type="dxa"/>
            <w:vAlign w:val="center"/>
          </w:tcPr>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电商运营</w:t>
            </w:r>
          </w:p>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电商综合实训</w:t>
            </w:r>
          </w:p>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移动电子商务</w:t>
            </w:r>
          </w:p>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电商商务实战</w:t>
            </w:r>
          </w:p>
          <w:p>
            <w:pPr>
              <w:widowControl/>
              <w:spacing w:line="240" w:lineRule="auto"/>
              <w:ind w:firstLine="0" w:firstLineChars="0"/>
              <w:jc w:val="left"/>
              <w:rPr>
                <w:rFonts w:ascii="宋体" w:hAnsi="宋体" w:cs="宋体"/>
                <w:color w:val="auto"/>
                <w:kern w:val="0"/>
                <w:sz w:val="21"/>
                <w:szCs w:val="21"/>
                <w:highlight w:val="none"/>
              </w:rPr>
            </w:pPr>
          </w:p>
        </w:tc>
        <w:tc>
          <w:tcPr>
            <w:tcW w:w="3562" w:type="dxa"/>
            <w:vAlign w:val="center"/>
          </w:tcPr>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电商创业基地</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1.货架</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2.LED屏</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3.投影及幕布</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4.其他创业设备</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电商运营实训室</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1.教师机及多媒体设备一套</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2.电商综合实训软件</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3.学生机若干台，保证每人一台</w:t>
            </w:r>
          </w:p>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sz w:val="21"/>
                <w:szCs w:val="21"/>
                <w:highlight w:val="none"/>
              </w:rPr>
              <w:t>4.网络设备，能连通外网</w:t>
            </w:r>
          </w:p>
        </w:tc>
        <w:tc>
          <w:tcPr>
            <w:tcW w:w="3610" w:type="dxa"/>
            <w:vAlign w:val="center"/>
          </w:tcPr>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1.电商主流平台经营2个以上，年电商销售额1000万元以上；</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2.企业具备完善供应链系统、仓储系统、销售网络、大型ERP系统、企业员工不比低于50人；</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3.企业具备培训能力，企业可提供10人以上的岗位实训能力，并配备实训辅助人员1人以上；</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4.大学创业园区提供办公环境、办公设备等软硬件支持。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48" w:type="dxa"/>
            <w:vAlign w:val="center"/>
          </w:tcPr>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PS图像处理</w:t>
            </w:r>
          </w:p>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网页美工设计</w:t>
            </w:r>
          </w:p>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电商视觉营销</w:t>
            </w:r>
          </w:p>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sz w:val="21"/>
                <w:szCs w:val="21"/>
                <w:highlight w:val="none"/>
              </w:rPr>
              <w:t>电商美工综合应用</w:t>
            </w:r>
          </w:p>
        </w:tc>
        <w:tc>
          <w:tcPr>
            <w:tcW w:w="3562" w:type="dxa"/>
            <w:vAlign w:val="center"/>
          </w:tcPr>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电商美工实训室：</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1.教师机及多媒体设备一套</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2.美工各种软件</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3.学生机若干台，保证每人一台</w:t>
            </w:r>
          </w:p>
          <w:p>
            <w:pPr>
              <w:widowControl/>
              <w:spacing w:line="240" w:lineRule="auto"/>
              <w:ind w:firstLine="0" w:firstLineChars="0"/>
              <w:jc w:val="left"/>
              <w:rPr>
                <w:rFonts w:ascii="宋体" w:hAnsi="宋体" w:cs="宋体"/>
                <w:color w:val="auto"/>
                <w:kern w:val="0"/>
                <w:sz w:val="21"/>
                <w:szCs w:val="21"/>
                <w:highlight w:val="none"/>
              </w:rPr>
            </w:pPr>
            <w:r>
              <w:rPr>
                <w:rFonts w:hint="eastAsia" w:ascii="宋体" w:hAnsi="宋体" w:cs="宋体"/>
                <w:color w:val="auto"/>
                <w:sz w:val="21"/>
                <w:szCs w:val="21"/>
                <w:highlight w:val="none"/>
              </w:rPr>
              <w:t>4.网络设备，能连通外网</w:t>
            </w:r>
          </w:p>
        </w:tc>
        <w:tc>
          <w:tcPr>
            <w:tcW w:w="3610" w:type="dxa"/>
            <w:vAlign w:val="center"/>
          </w:tcPr>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1.企业从事经营电子商务业务或具有独立的网页，年销售额500万元以上；</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2.企业拥有自己的独立宣传设计营销部门，有相关平面设计、广告印刷、网页制作等刚性需求；</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3.公司从事广告印刷行业有专业设计、排版、印刷、宣发等工作流程，并配备实训辅助人员1人以上；</w:t>
            </w:r>
          </w:p>
          <w:p>
            <w:pPr>
              <w:widowControl/>
              <w:spacing w:line="240" w:lineRule="auto"/>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4.大学创业园区提供办公环境、办公设备等软硬件支持。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48" w:type="dxa"/>
            <w:vAlign w:val="center"/>
          </w:tcPr>
          <w:p>
            <w:pPr>
              <w:widowControl/>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顶岗实习</w:t>
            </w:r>
          </w:p>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毕业论文</w:t>
            </w:r>
          </w:p>
        </w:tc>
        <w:tc>
          <w:tcPr>
            <w:tcW w:w="3562" w:type="dxa"/>
            <w:vAlign w:val="center"/>
          </w:tcPr>
          <w:p>
            <w:pPr>
              <w:widowControl/>
              <w:spacing w:line="240" w:lineRule="auto"/>
              <w:ind w:firstLine="0" w:firstLineChars="0"/>
              <w:jc w:val="left"/>
              <w:rPr>
                <w:rFonts w:ascii="宋体" w:hAnsi="宋体" w:cs="宋体"/>
                <w:color w:val="auto"/>
                <w:kern w:val="0"/>
                <w:sz w:val="21"/>
                <w:szCs w:val="21"/>
                <w:highlight w:val="none"/>
              </w:rPr>
            </w:pPr>
          </w:p>
        </w:tc>
        <w:tc>
          <w:tcPr>
            <w:tcW w:w="3610" w:type="dxa"/>
            <w:vAlign w:val="center"/>
          </w:tcPr>
          <w:p>
            <w:pPr>
              <w:widowControl/>
              <w:numPr>
                <w:ilvl w:val="0"/>
                <w:numId w:val="2"/>
              </w:numPr>
              <w:spacing w:line="240" w:lineRule="auto"/>
              <w:ind w:firstLineChars="0"/>
              <w:jc w:val="left"/>
              <w:rPr>
                <w:rFonts w:ascii="宋体" w:hAnsi="宋体" w:cs="宋体"/>
                <w:color w:val="auto"/>
                <w:sz w:val="21"/>
                <w:szCs w:val="21"/>
                <w:highlight w:val="none"/>
              </w:rPr>
            </w:pPr>
            <w:r>
              <w:rPr>
                <w:rFonts w:hint="eastAsia" w:ascii="宋体" w:hAnsi="宋体" w:cstheme="minorBidi"/>
                <w:color w:val="auto"/>
                <w:kern w:val="0"/>
                <w:sz w:val="21"/>
                <w:szCs w:val="21"/>
                <w:highlight w:val="none"/>
              </w:rPr>
              <w:t>中小型制造业、商业企业、电子商务企业等企业；2.能为学生提供顶岗实习岗位；3</w:t>
            </w:r>
            <w:r>
              <w:rPr>
                <w:rFonts w:hint="eastAsia" w:ascii="宋体" w:hAnsi="宋体" w:cs="宋体"/>
                <w:color w:val="auto"/>
                <w:sz w:val="21"/>
                <w:szCs w:val="21"/>
                <w:highlight w:val="none"/>
              </w:rPr>
              <w:t>.大学创业园区能为创业学生提供专业孵化指导、孵化课程、软件设施、硬件设施、工商税务配套服务等提供一条龙服务，</w:t>
            </w:r>
            <w:r>
              <w:rPr>
                <w:rFonts w:hint="eastAsia" w:ascii="宋体" w:hAnsi="宋体" w:cstheme="minorBidi"/>
                <w:color w:val="auto"/>
                <w:kern w:val="0"/>
                <w:sz w:val="21"/>
                <w:szCs w:val="21"/>
                <w:highlight w:val="none"/>
              </w:rPr>
              <w:t>为学生提供创业扶持</w:t>
            </w:r>
            <w:r>
              <w:rPr>
                <w:rFonts w:hint="eastAsia" w:ascii="宋体" w:hAnsi="宋体" w:cs="宋体"/>
                <w:color w:val="auto"/>
                <w:sz w:val="21"/>
                <w:szCs w:val="21"/>
                <w:highlight w:val="none"/>
              </w:rPr>
              <w:t>。</w:t>
            </w:r>
          </w:p>
        </w:tc>
      </w:tr>
    </w:tbl>
    <w:p>
      <w:pPr>
        <w:keepNext/>
        <w:keepLines/>
        <w:spacing w:before="120" w:beforeLines="50" w:after="120" w:afterLines="50"/>
        <w:ind w:firstLine="560"/>
        <w:rPr>
          <w:rFonts w:ascii="Arial" w:hAnsi="Arial" w:eastAsia="黑体"/>
          <w:bCs/>
          <w:color w:val="auto"/>
          <w:sz w:val="28"/>
          <w:szCs w:val="32"/>
          <w:highlight w:val="none"/>
        </w:rPr>
      </w:pPr>
      <w:r>
        <w:rPr>
          <w:rFonts w:hint="eastAsia" w:ascii="黑体" w:hAnsi="Arial" w:eastAsia="黑体"/>
          <w:bCs/>
          <w:color w:val="auto"/>
          <w:sz w:val="28"/>
          <w:szCs w:val="32"/>
          <w:highlight w:val="none"/>
        </w:rPr>
        <w:t>（三）教学资源</w:t>
      </w:r>
    </w:p>
    <w:p>
      <w:pPr>
        <w:ind w:firstLine="480"/>
        <w:rPr>
          <w:rFonts w:ascii="宋体" w:hAnsi="宋体"/>
          <w:color w:val="auto"/>
          <w:highlight w:val="none"/>
        </w:rPr>
      </w:pPr>
      <w:r>
        <w:rPr>
          <w:rFonts w:hint="eastAsia" w:ascii="宋体" w:hAnsi="宋体"/>
          <w:color w:val="auto"/>
          <w:highlight w:val="none"/>
        </w:rPr>
        <w:t>主要包括能够满足学生专业学习、教师专业教学研究和教学实施需要的教材、图书和数字资源、校内外实训基地、教学硬件等。</w:t>
      </w:r>
    </w:p>
    <w:p>
      <w:pPr>
        <w:ind w:firstLine="480"/>
        <w:rPr>
          <w:rFonts w:ascii="宋体" w:hAnsi="宋体"/>
          <w:color w:val="auto"/>
          <w:highlight w:val="none"/>
        </w:rPr>
      </w:pPr>
      <w:r>
        <w:rPr>
          <w:rFonts w:ascii="宋体" w:hAnsi="宋体"/>
          <w:color w:val="auto"/>
          <w:highlight w:val="none"/>
        </w:rPr>
        <w:t>教学资源主要包括能够满足学生专业学习、教师专业教学研究和教学实施所需的教材、图书文献及数字教学资源等。</w:t>
      </w:r>
    </w:p>
    <w:p>
      <w:pPr>
        <w:ind w:firstLine="480"/>
        <w:rPr>
          <w:rFonts w:ascii="宋体" w:hAnsi="宋体"/>
          <w:color w:val="auto"/>
          <w:highlight w:val="none"/>
        </w:rPr>
      </w:pPr>
      <w:r>
        <w:rPr>
          <w:rFonts w:ascii="宋体" w:hAnsi="宋体"/>
          <w:color w:val="auto"/>
          <w:highlight w:val="none"/>
        </w:rPr>
        <w:t>1.教材选用基本要求</w:t>
      </w:r>
    </w:p>
    <w:p>
      <w:pPr>
        <w:ind w:firstLine="480"/>
        <w:rPr>
          <w:rFonts w:ascii="宋体" w:hAnsi="宋体"/>
          <w:color w:val="auto"/>
          <w:highlight w:val="none"/>
        </w:rPr>
      </w:pPr>
      <w:r>
        <w:rPr>
          <w:rFonts w:ascii="宋体" w:hAnsi="宋体"/>
          <w:color w:val="auto"/>
          <w:highlight w:val="none"/>
        </w:rPr>
        <w:t>按照国家规定选用优质教材，禁止不合格的教材进入课堂。学校应建立专业教师、行业企业专家和教研人员等参与的教材选用机构，完善教材选用制度，经过规范程序择优选用教材</w:t>
      </w:r>
      <w:r>
        <w:rPr>
          <w:rFonts w:hint="eastAsia" w:ascii="宋体" w:hAnsi="宋体"/>
          <w:color w:val="auto"/>
          <w:highlight w:val="none"/>
        </w:rPr>
        <w:t>、鼓励与行业企业合作开发特色鲜明的专业课校本教材</w:t>
      </w:r>
      <w:r>
        <w:rPr>
          <w:rFonts w:ascii="宋体" w:hAnsi="宋体"/>
          <w:color w:val="auto"/>
          <w:highlight w:val="none"/>
        </w:rPr>
        <w:t>。</w:t>
      </w:r>
    </w:p>
    <w:p>
      <w:pPr>
        <w:ind w:firstLine="480"/>
        <w:rPr>
          <w:rFonts w:ascii="宋体" w:hAnsi="宋体"/>
          <w:color w:val="auto"/>
          <w:highlight w:val="none"/>
        </w:rPr>
      </w:pPr>
      <w:r>
        <w:rPr>
          <w:rFonts w:ascii="宋体" w:hAnsi="宋体"/>
          <w:color w:val="auto"/>
          <w:highlight w:val="none"/>
        </w:rPr>
        <w:t>2.图书文献配备基本要求</w:t>
      </w:r>
    </w:p>
    <w:p>
      <w:pPr>
        <w:ind w:firstLine="480"/>
        <w:rPr>
          <w:rFonts w:ascii="宋体" w:hAnsi="宋体"/>
          <w:color w:val="auto"/>
          <w:highlight w:val="none"/>
        </w:rPr>
      </w:pPr>
      <w:r>
        <w:rPr>
          <w:rFonts w:ascii="宋体" w:hAnsi="宋体"/>
          <w:color w:val="auto"/>
          <w:highlight w:val="none"/>
        </w:rPr>
        <w:t>图书文献配备能满足人才培养、专业建设、教科研等工作的需要，方便师生查询、借阅。专业类图书文献主要包括有关电子商务技术、方法、思维以及实务操作类图书，经、管理、营销和文化类文献等</w:t>
      </w:r>
      <w:r>
        <w:rPr>
          <w:rFonts w:hint="eastAsia" w:ascii="宋体" w:hAnsi="宋体"/>
          <w:color w:val="auto"/>
          <w:highlight w:val="none"/>
        </w:rPr>
        <w:t>，配备专业领域电子版数据</w:t>
      </w:r>
      <w:r>
        <w:rPr>
          <w:rFonts w:ascii="宋体" w:hAnsi="宋体"/>
          <w:color w:val="auto"/>
          <w:highlight w:val="none"/>
        </w:rPr>
        <w:t>。</w:t>
      </w:r>
    </w:p>
    <w:p>
      <w:pPr>
        <w:ind w:firstLine="480"/>
        <w:rPr>
          <w:rFonts w:ascii="宋体" w:hAnsi="宋体"/>
          <w:color w:val="auto"/>
          <w:highlight w:val="none"/>
        </w:rPr>
      </w:pPr>
      <w:r>
        <w:rPr>
          <w:rFonts w:ascii="宋体" w:hAnsi="宋体"/>
          <w:color w:val="auto"/>
          <w:highlight w:val="none"/>
        </w:rPr>
        <w:t>3.数字教学资源配置基本要求</w:t>
      </w:r>
    </w:p>
    <w:p>
      <w:pPr>
        <w:ind w:firstLine="480"/>
        <w:rPr>
          <w:rFonts w:ascii="宋体" w:hAnsi="宋体"/>
          <w:color w:val="auto"/>
          <w:highlight w:val="none"/>
        </w:rPr>
      </w:pPr>
      <w:r>
        <w:rPr>
          <w:rFonts w:ascii="宋体" w:hAnsi="宋体"/>
          <w:color w:val="auto"/>
          <w:highlight w:val="none"/>
        </w:rPr>
        <w:t>建设、配备与本专业有关的音视频素材、教学课件、数字化教学案例库、虚拟仿真软件、数字教材等专业教学资源库，应种类丰富、形式多样、使用便捷、动态更新，能满足教学要求</w:t>
      </w:r>
      <w:r>
        <w:rPr>
          <w:rFonts w:hint="eastAsia" w:ascii="宋体" w:hAnsi="宋体"/>
          <w:color w:val="auto"/>
          <w:highlight w:val="none"/>
        </w:rPr>
        <w:t>，建立网络教学平台资源，建设电子商务专业核心课程资源，同时具有相关网络资源。</w:t>
      </w:r>
    </w:p>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（四）教学方法</w:t>
      </w:r>
    </w:p>
    <w:p>
      <w:pPr>
        <w:keepNext/>
        <w:keepLines/>
        <w:spacing w:before="120" w:beforeLines="50" w:after="120" w:afterLines="50"/>
        <w:ind w:firstLine="480"/>
        <w:rPr>
          <w:rFonts w:asciiTheme="minorHAnsi" w:hAnsiTheme="minorHAnsi" w:cstheme="minorBidi"/>
          <w:color w:val="auto"/>
          <w:highlight w:val="none"/>
        </w:rPr>
      </w:pPr>
      <w:r>
        <w:rPr>
          <w:rFonts w:hint="eastAsia" w:asciiTheme="minorHAnsi" w:hAnsiTheme="minorHAnsi" w:cstheme="minorBidi"/>
          <w:color w:val="auto"/>
          <w:highlight w:val="none"/>
        </w:rPr>
        <w:t>根据教学内容选择使用项目式教学方法、理论实践一体化教学方法、任务驱动式教学方法等。</w:t>
      </w:r>
    </w:p>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（五）学习评价</w:t>
      </w:r>
    </w:p>
    <w:p>
      <w:pPr>
        <w:ind w:firstLine="480"/>
        <w:rPr>
          <w:rFonts w:ascii="宋体" w:hAnsiTheme="minorHAnsi" w:cstheme="minorBidi"/>
          <w:color w:val="auto"/>
          <w:highlight w:val="none"/>
        </w:rPr>
      </w:pPr>
      <w:r>
        <w:rPr>
          <w:rFonts w:hint="eastAsia" w:asciiTheme="minorHAnsi" w:hAnsiTheme="minorHAnsi" w:cstheme="minorBidi"/>
          <w:color w:val="auto"/>
          <w:highlight w:val="none"/>
        </w:rPr>
        <w:t>以促进学生学习为目标，在课程中教学目标、学习目标与评价目标三位一体，准确收集学生学习信息及时反馈，这个过程中包括了教师和学生的自我评价及教师和学生的相互评价。在</w:t>
      </w:r>
      <w:r>
        <w:rPr>
          <w:rFonts w:hint="eastAsia" w:ascii="宋体" w:hAnsi="宋体" w:cstheme="minorBidi"/>
          <w:color w:val="auto"/>
          <w:highlight w:val="none"/>
        </w:rPr>
        <w:t>课程考核评价中坚持过程性评级与结果性评价相结合、校内评价与校外评价相结合、学生自我评价与教师评价相结合，评价应体现评价标准、评价主体、评价方式的多元化，主要采取笔试、实践操作、实训报告、以赛代考等方式进行考核。</w:t>
      </w:r>
    </w:p>
    <w:p>
      <w:pPr>
        <w:ind w:firstLine="480"/>
        <w:rPr>
          <w:rFonts w:ascii="宋体" w:hAnsi="宋体"/>
          <w:color w:val="auto"/>
          <w:highlight w:val="none"/>
        </w:rPr>
      </w:pPr>
      <w:r>
        <w:rPr>
          <w:rFonts w:hint="eastAsia" w:ascii="宋体" w:hAnsi="宋体"/>
          <w:color w:val="auto"/>
          <w:highlight w:val="none"/>
        </w:rPr>
        <w:t>课程考核贯彻“结果导向、效果为先”的原则，实际教学过程中部分学生和部分专业课可学分置换的方式采取考核，被择优选取进入实训基地进行实训的学生、参与企业组织的实训项目的学生以及参加各种电商类大赛的学生，其实训（参赛）过程以及项目绩效（比赛成绩）可替换相对应的课程考核成绩。</w:t>
      </w:r>
    </w:p>
    <w:p>
      <w:pPr>
        <w:ind w:firstLine="480"/>
        <w:rPr>
          <w:rFonts w:ascii="宋体" w:hAnsi="宋体"/>
          <w:color w:val="auto"/>
          <w:highlight w:val="none"/>
        </w:rPr>
      </w:pPr>
      <w:r>
        <w:rPr>
          <w:rFonts w:hint="eastAsia" w:ascii="宋体" w:hAnsi="宋体"/>
          <w:color w:val="auto"/>
          <w:highlight w:val="none"/>
        </w:rPr>
        <w:t>探索建立“企业评价体系”，学生进入第四学期后，可择优进入实训基地进行项目实习，实训企业负责制定考核标准，全程按照企业化的管理进行考评，学生实习结束，考评合格后，颁发“育米学位”，作为第五学期顶岗实习进入/该实习企业的凭证和依据，从而增强学生参与项目的积极性和主动性，提升企业对学生和学校的认可度。</w:t>
      </w:r>
    </w:p>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（六）社会服务</w:t>
      </w:r>
    </w:p>
    <w:p>
      <w:pPr>
        <w:keepNext/>
        <w:keepLines/>
        <w:spacing w:before="120" w:beforeLines="50" w:after="120" w:afterLines="50"/>
        <w:ind w:firstLine="480"/>
        <w:rPr>
          <w:rFonts w:ascii="宋体" w:hAnsi="宋体"/>
          <w:color w:val="auto"/>
          <w:highlight w:val="none"/>
        </w:rPr>
      </w:pPr>
      <w:r>
        <w:rPr>
          <w:rFonts w:hint="eastAsia" w:ascii="宋体" w:hAnsi="宋体"/>
          <w:color w:val="auto"/>
          <w:highlight w:val="none"/>
        </w:rPr>
        <w:t>采取各种手段，利用多种资源，依托不同平台，拓宽学生在校期间参与社会服务、岗位实践的广度和深度。专业教师可以以工作室的形式带领学生参与到真实的项目中，做到教、学、做同步和一体化，并根据项目的实际成果，评估核算学分。</w:t>
      </w:r>
    </w:p>
    <w:p>
      <w:pPr>
        <w:ind w:firstLine="480"/>
        <w:rPr>
          <w:color w:val="auto"/>
          <w:highlight w:val="none"/>
        </w:rPr>
      </w:pPr>
      <w:r>
        <w:rPr>
          <w:rFonts w:hint="eastAsia"/>
          <w:color w:val="auto"/>
          <w:highlight w:val="none"/>
        </w:rPr>
        <w:t>商务实战锤炼实际技能。第三学期安排2-3个月为电商商务实战课程，将真实企业、真实项目引入学校，使学生提前感受职场环境、提升职业技能、锻造职业素养。</w:t>
      </w:r>
    </w:p>
    <w:p>
      <w:pPr>
        <w:ind w:firstLine="480"/>
        <w:rPr>
          <w:color w:val="auto"/>
          <w:highlight w:val="none"/>
        </w:rPr>
      </w:pPr>
      <w:r>
        <w:rPr>
          <w:rFonts w:hint="eastAsia"/>
          <w:color w:val="auto"/>
          <w:highlight w:val="none"/>
        </w:rPr>
        <w:t>实训基地打通供需壁垒。依托大学科技园，积极引入专业相关、需求相配的优质电商企业，打造多个能够服务学生、吸纳就业和产生效益的生产性实训基地，实训基地在职员工和实训学生比例为1:1，确保学生在实训基地就能提前度过毕业找工作的缓冲期，提升用人单位认可度，提高就业竞争力。</w:t>
      </w:r>
    </w:p>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（七）质量管理</w:t>
      </w:r>
    </w:p>
    <w:p>
      <w:pPr>
        <w:ind w:firstLine="480"/>
        <w:rPr>
          <w:rFonts w:ascii="宋体" w:hAnsi="宋体"/>
          <w:color w:val="auto"/>
          <w:highlight w:val="none"/>
        </w:rPr>
      </w:pPr>
      <w:r>
        <w:rPr>
          <w:rFonts w:hint="eastAsia" w:ascii="宋体" w:hAnsi="宋体"/>
          <w:color w:val="auto"/>
          <w:highlight w:val="none"/>
        </w:rPr>
        <w:t>以提高和保障教学质量为目标，坚持“以人为本、需求导向、全程督导、多元诊断”的质量方针，建立以学校为质量保证主体责任，辅导员为第一责任人，吸纳行业、企业、家长、社会共同参与的立体管理机制，提升学生自主学习的动力和持续学习的能力。</w:t>
      </w:r>
    </w:p>
    <w:p>
      <w:pPr>
        <w:ind w:firstLine="480"/>
        <w:rPr>
          <w:rFonts w:ascii="宋体" w:hAnsi="宋体"/>
          <w:color w:val="auto"/>
          <w:highlight w:val="none"/>
        </w:rPr>
      </w:pPr>
      <w:r>
        <w:rPr>
          <w:rFonts w:hint="eastAsia" w:ascii="宋体" w:hAnsi="宋体"/>
          <w:color w:val="auto"/>
          <w:highlight w:val="none"/>
        </w:rPr>
        <w:t>辅导员队伍按照小班管理的原则进行配备，每50名学生配备1个辅导员，辅导员从学生入学一直到就业，进行全过程、全方位、全要素的督导管理，辅导员的绩效考核同所管学生的表现直接挂钩。</w:t>
      </w:r>
    </w:p>
    <w:p>
      <w:pPr>
        <w:ind w:firstLine="480"/>
        <w:rPr>
          <w:rFonts w:ascii="宋体" w:hAnsi="宋体"/>
          <w:color w:val="auto"/>
          <w:highlight w:val="none"/>
        </w:rPr>
      </w:pPr>
      <w:r>
        <w:rPr>
          <w:rFonts w:hint="eastAsia" w:ascii="宋体" w:hAnsi="宋体"/>
          <w:color w:val="auto"/>
          <w:highlight w:val="none"/>
        </w:rPr>
        <w:t>辅导员除按照岗位职责完成本职工作外，要建立每名学生的个人档案，负责所管学生的日常考勤、听课查课、学生评教、教师评学，协助专业教师进行跟学跟训与成绩分析，负责商务实战期间的项目对接，从就业部门提供的企业中遴选适合的岗位进行就业推荐，开展毕业生就业跟踪与调研，同时将以上工作进行定性量化、录入档案，形成常态化、可持续、全过程的人才培养质量保障机制。</w:t>
      </w:r>
    </w:p>
    <w:p>
      <w:pPr>
        <w:ind w:firstLine="480"/>
        <w:rPr>
          <w:rFonts w:ascii="宋体" w:hAnsi="宋体"/>
          <w:color w:val="auto"/>
          <w:highlight w:val="none"/>
        </w:rPr>
      </w:pPr>
      <w:r>
        <w:rPr>
          <w:rFonts w:hint="eastAsia" w:ascii="宋体" w:hAnsi="宋体"/>
          <w:color w:val="auto"/>
          <w:highlight w:val="none"/>
        </w:rPr>
        <w:t>同时为保证教学质量，逐步建立健全教学保障和监控体系，定期组织修订和增订各类教学文件与教学管理制度，主要包括日常教学质量管理与检查制度、教学督导制度、听查课制度等，并制定相关的教学质量管理文件，形成可持续发展的良好态势。</w:t>
      </w:r>
    </w:p>
    <w:p>
      <w:pPr>
        <w:keepNext/>
        <w:keepLines/>
        <w:spacing w:before="120" w:beforeLines="50" w:after="120" w:afterLines="50"/>
        <w:ind w:firstLine="560"/>
        <w:rPr>
          <w:rFonts w:ascii="黑体" w:hAnsi="Arial" w:eastAsia="黑体"/>
          <w:bCs/>
          <w:color w:val="auto"/>
          <w:sz w:val="28"/>
          <w:szCs w:val="32"/>
          <w:highlight w:val="none"/>
        </w:rPr>
      </w:pPr>
      <w:r>
        <w:rPr>
          <w:rFonts w:hint="eastAsia" w:ascii="黑体" w:hAnsi="Arial" w:eastAsia="黑体"/>
          <w:bCs/>
          <w:color w:val="auto"/>
          <w:sz w:val="28"/>
          <w:szCs w:val="32"/>
          <w:highlight w:val="none"/>
        </w:rPr>
        <w:t>（八）就业保障</w:t>
      </w:r>
    </w:p>
    <w:p>
      <w:pPr>
        <w:ind w:firstLine="480"/>
        <w:rPr>
          <w:rFonts w:ascii="宋体" w:hAnsi="宋体"/>
          <w:color w:val="auto"/>
          <w:highlight w:val="none"/>
        </w:rPr>
      </w:pPr>
      <w:r>
        <w:rPr>
          <w:rFonts w:hint="eastAsia" w:ascii="宋体" w:hAnsi="宋体"/>
          <w:color w:val="auto"/>
          <w:highlight w:val="none"/>
        </w:rPr>
        <w:t>建立一支强大的就业保障队伍，遵循“就业倒推”的原则，将就业保障工作打造成连接学生学业、毕业就业与电商产业之间的一座桥梁。不间断的获取优质的电商企业，建立“优质就业企业库”，在北京、天津以及杭州等城市设立就业办事处，与一线城市电商企业保持长期联系和合作，遴选合适企业进入大学科技园，参与生产性实训基地建设。邀请电商企业经理和业务骨干作为客座专家，参与人才培养方式制定、对专业教师教学内容进行会诊，同时参与到日常专业教学中，确保就业和教学一体联动，相辅相成。</w:t>
      </w:r>
    </w:p>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九、毕业要求</w:t>
      </w:r>
    </w:p>
    <w:p>
      <w:pPr>
        <w:ind w:firstLine="480"/>
        <w:jc w:val="left"/>
        <w:rPr>
          <w:color w:val="auto"/>
          <w:highlight w:val="none"/>
        </w:rPr>
      </w:pPr>
      <w:r>
        <w:rPr>
          <w:rFonts w:hint="eastAsia"/>
          <w:color w:val="auto"/>
          <w:highlight w:val="none"/>
        </w:rPr>
        <w:t>学生修完专业人才培养方案所规定的课程，修满15</w:t>
      </w:r>
      <w:r>
        <w:rPr>
          <w:rFonts w:hint="eastAsia"/>
          <w:color w:val="auto"/>
          <w:highlight w:val="none"/>
          <w:lang w:val="en-US" w:eastAsia="zh-CN"/>
        </w:rPr>
        <w:t>2.5</w:t>
      </w:r>
      <w:r>
        <w:rPr>
          <w:rFonts w:hint="eastAsia"/>
          <w:color w:val="auto"/>
          <w:highlight w:val="none"/>
        </w:rPr>
        <w:t>学分（其中必修课</w:t>
      </w:r>
      <w:r>
        <w:rPr>
          <w:rFonts w:hint="eastAsia"/>
          <w:color w:val="auto"/>
          <w:highlight w:val="none"/>
          <w:lang w:val="en-US" w:eastAsia="zh-CN"/>
        </w:rPr>
        <w:t>140.5</w:t>
      </w:r>
      <w:r>
        <w:rPr>
          <w:rFonts w:hint="eastAsia"/>
          <w:color w:val="auto"/>
          <w:highlight w:val="none"/>
        </w:rPr>
        <w:t>学分，选修课</w:t>
      </w:r>
      <w:r>
        <w:rPr>
          <w:rFonts w:hint="eastAsia"/>
          <w:color w:val="auto"/>
          <w:highlight w:val="none"/>
          <w:lang w:val="en-US" w:eastAsia="zh-CN"/>
        </w:rPr>
        <w:t>12</w:t>
      </w:r>
      <w:r>
        <w:rPr>
          <w:rFonts w:hint="eastAsia"/>
          <w:color w:val="auto"/>
          <w:highlight w:val="none"/>
        </w:rPr>
        <w:t>学分），并按照学院《素质学分认定办法》完成素质教育学分，达到本专业人才培养目标和培养规格的要求方可毕业。本方案具体学时与学分分配见下表。</w:t>
      </w:r>
    </w:p>
    <w:p>
      <w:pPr>
        <w:spacing w:line="240" w:lineRule="auto"/>
        <w:ind w:firstLine="0" w:firstLineChars="0"/>
        <w:jc w:val="center"/>
        <w:rPr>
          <w:rFonts w:hint="eastAsia" w:ascii="宋体" w:hAnsi="宋体" w:cs="宋体"/>
          <w:b/>
          <w:color w:val="auto"/>
          <w:kern w:val="0"/>
          <w:sz w:val="21"/>
          <w:szCs w:val="21"/>
          <w:highlight w:val="none"/>
        </w:rPr>
      </w:pPr>
    </w:p>
    <w:p>
      <w:pPr>
        <w:spacing w:line="240" w:lineRule="auto"/>
        <w:ind w:firstLine="0" w:firstLineChars="0"/>
        <w:jc w:val="center"/>
        <w:rPr>
          <w:rFonts w:hint="eastAsia" w:ascii="宋体" w:hAnsi="宋体" w:cs="宋体"/>
          <w:b/>
          <w:color w:val="auto"/>
          <w:kern w:val="0"/>
          <w:sz w:val="21"/>
          <w:szCs w:val="21"/>
          <w:highlight w:val="none"/>
        </w:rPr>
      </w:pPr>
    </w:p>
    <w:p>
      <w:pPr>
        <w:spacing w:line="240" w:lineRule="auto"/>
        <w:ind w:firstLine="0" w:firstLineChars="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学时与学分分配表</w:t>
      </w:r>
    </w:p>
    <w:tbl>
      <w:tblPr>
        <w:tblStyle w:val="4"/>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1"/>
        <w:gridCol w:w="1655"/>
        <w:gridCol w:w="973"/>
        <w:gridCol w:w="1038"/>
        <w:gridCol w:w="1419"/>
        <w:gridCol w:w="797"/>
        <w:gridCol w:w="1417"/>
        <w:gridCol w:w="12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2426" w:type="dxa"/>
            <w:gridSpan w:val="2"/>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课程类别</w:t>
            </w:r>
          </w:p>
        </w:tc>
        <w:tc>
          <w:tcPr>
            <w:tcW w:w="973"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课程门数</w:t>
            </w:r>
          </w:p>
        </w:tc>
        <w:tc>
          <w:tcPr>
            <w:tcW w:w="2457" w:type="dxa"/>
            <w:gridSpan w:val="2"/>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学时分配</w:t>
            </w:r>
          </w:p>
        </w:tc>
        <w:tc>
          <w:tcPr>
            <w:tcW w:w="2214" w:type="dxa"/>
            <w:gridSpan w:val="2"/>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学分分配</w:t>
            </w:r>
          </w:p>
        </w:tc>
        <w:tc>
          <w:tcPr>
            <w:tcW w:w="1217" w:type="dxa"/>
            <w:vMerge w:val="restart"/>
            <w:tcBorders>
              <w:top w:val="single" w:color="auto" w:sz="12"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2426" w:type="dxa"/>
            <w:gridSpan w:val="2"/>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973"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2457" w:type="dxa"/>
            <w:gridSpan w:val="2"/>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2214" w:type="dxa"/>
            <w:gridSpan w:val="2"/>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1217" w:type="dxa"/>
            <w:vMerge w:val="continue"/>
            <w:tcBorders>
              <w:top w:val="single" w:color="auto" w:sz="12" w:space="0"/>
              <w:left w:val="single" w:color="auto" w:sz="6" w:space="0"/>
              <w:bottom w:val="single" w:color="auto" w:sz="6" w:space="0"/>
              <w:right w:val="single" w:color="auto" w:sz="12" w:space="0"/>
            </w:tcBorders>
            <w:shd w:val="clear" w:color="auto" w:fill="auto"/>
            <w:vAlign w:val="center"/>
          </w:tcPr>
          <w:p>
            <w:pPr>
              <w:spacing w:line="240" w:lineRule="auto"/>
              <w:ind w:firstLine="420"/>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2426" w:type="dxa"/>
            <w:gridSpan w:val="2"/>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973"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学时</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占总学时比例</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学分</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占总学分比例</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2426"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公共基础课</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15</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default" w:ascii="宋体" w:hAnsi="宋体" w:cs="宋体"/>
                <w:b w:val="0"/>
                <w:bCs/>
                <w:color w:val="auto"/>
                <w:kern w:val="0"/>
                <w:sz w:val="21"/>
                <w:szCs w:val="21"/>
                <w:highlight w:val="none"/>
                <w:lang w:val="en-US" w:bidi="ar"/>
              </w:rPr>
            </w:pPr>
            <w:r>
              <w:rPr>
                <w:rFonts w:hint="eastAsia" w:ascii="宋体" w:hAnsi="宋体" w:cs="宋体"/>
                <w:b w:val="0"/>
                <w:bCs/>
                <w:color w:val="auto"/>
                <w:kern w:val="0"/>
                <w:sz w:val="21"/>
                <w:szCs w:val="21"/>
                <w:highlight w:val="none"/>
                <w:lang w:val="en-US" w:eastAsia="zh-CN" w:bidi="ar"/>
              </w:rPr>
              <w:t>640</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25.44%</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42.5</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27.87%</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0" w:hRule="atLeast"/>
          <w:jc w:val="center"/>
        </w:trPr>
        <w:tc>
          <w:tcPr>
            <w:tcW w:w="771"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专业课程</w:t>
            </w:r>
          </w:p>
        </w:tc>
        <w:tc>
          <w:tcPr>
            <w:tcW w:w="165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专业基础课</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default" w:ascii="宋体" w:hAnsi="宋体" w:cs="宋体"/>
                <w:b w:val="0"/>
                <w:bCs/>
                <w:color w:val="auto"/>
                <w:kern w:val="0"/>
                <w:sz w:val="21"/>
                <w:szCs w:val="21"/>
                <w:highlight w:val="none"/>
                <w:lang w:eastAsia="zh-CN" w:bidi="ar"/>
              </w:rPr>
              <w:t>6</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202</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8.03%</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11</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7.21%</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5" w:hRule="atLeast"/>
          <w:jc w:val="center"/>
        </w:trPr>
        <w:tc>
          <w:tcPr>
            <w:tcW w:w="77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165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专业核心课</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default" w:ascii="宋体" w:hAnsi="宋体" w:cs="宋体"/>
                <w:b w:val="0"/>
                <w:bCs/>
                <w:color w:val="auto"/>
                <w:kern w:val="0"/>
                <w:sz w:val="21"/>
                <w:szCs w:val="21"/>
                <w:highlight w:val="none"/>
                <w:lang w:eastAsia="zh-CN" w:bidi="ar"/>
              </w:rPr>
              <w:t>6</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690</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27.42%</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43</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28.20%</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77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165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专业方向课</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default" w:ascii="宋体" w:hAnsi="宋体" w:cs="宋体"/>
                <w:b w:val="0"/>
                <w:bCs/>
                <w:color w:val="auto"/>
                <w:kern w:val="0"/>
                <w:sz w:val="21"/>
                <w:szCs w:val="21"/>
                <w:highlight w:val="none"/>
                <w:lang w:eastAsia="zh-CN" w:bidi="ar"/>
              </w:rPr>
              <w:t>12</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712</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28.30%</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44</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28.85%</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771"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auto"/>
              <w:ind w:firstLine="420"/>
              <w:rPr>
                <w:rFonts w:ascii="宋体" w:hAnsi="宋体"/>
                <w:color w:val="auto"/>
                <w:sz w:val="21"/>
                <w:szCs w:val="21"/>
                <w:highlight w:val="none"/>
              </w:rPr>
            </w:pPr>
          </w:p>
        </w:tc>
        <w:tc>
          <w:tcPr>
            <w:tcW w:w="165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小计</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default" w:ascii="宋体" w:hAnsi="宋体" w:cs="宋体"/>
                <w:b w:val="0"/>
                <w:bCs/>
                <w:color w:val="auto"/>
                <w:kern w:val="0"/>
                <w:sz w:val="21"/>
                <w:szCs w:val="21"/>
                <w:highlight w:val="none"/>
                <w:lang w:eastAsia="zh-CN" w:bidi="ar"/>
              </w:rPr>
              <w:t>24</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1604</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63.75%</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98</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64.26%</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771" w:type="dxa"/>
            <w:vMerge w:val="restart"/>
            <w:tcBorders>
              <w:top w:val="single" w:color="auto" w:sz="6" w:space="0"/>
              <w:left w:val="single" w:color="auto" w:sz="12" w:space="0"/>
              <w:bottom w:val="single" w:color="auto" w:sz="6" w:space="0"/>
              <w:right w:val="single" w:color="auto" w:sz="4"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选修课程</w:t>
            </w:r>
          </w:p>
        </w:tc>
        <w:tc>
          <w:tcPr>
            <w:tcW w:w="1655" w:type="dxa"/>
            <w:tcBorders>
              <w:top w:val="single" w:color="auto" w:sz="6" w:space="0"/>
              <w:left w:val="nil"/>
              <w:bottom w:val="single" w:color="auto" w:sz="4"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公共选修课程</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5</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default" w:ascii="宋体" w:hAnsi="宋体" w:cs="宋体"/>
                <w:b w:val="0"/>
                <w:bCs/>
                <w:color w:val="auto"/>
                <w:kern w:val="0"/>
                <w:sz w:val="21"/>
                <w:szCs w:val="21"/>
                <w:highlight w:val="none"/>
                <w:lang w:val="en-US" w:bidi="ar"/>
              </w:rPr>
            </w:pPr>
            <w:r>
              <w:rPr>
                <w:rFonts w:hint="eastAsia" w:ascii="宋体" w:hAnsi="宋体" w:cs="宋体"/>
                <w:b w:val="0"/>
                <w:bCs/>
                <w:color w:val="auto"/>
                <w:kern w:val="0"/>
                <w:sz w:val="21"/>
                <w:szCs w:val="21"/>
                <w:highlight w:val="none"/>
                <w:lang w:val="en-US" w:eastAsia="zh-CN" w:bidi="ar"/>
              </w:rPr>
              <w:t>142</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5.64%</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5</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3.28%</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771" w:type="dxa"/>
            <w:vMerge w:val="continue"/>
            <w:tcBorders>
              <w:top w:val="single" w:color="auto" w:sz="6" w:space="0"/>
              <w:left w:val="single" w:color="auto" w:sz="12" w:space="0"/>
              <w:bottom w:val="single" w:color="auto" w:sz="6" w:space="0"/>
              <w:right w:val="single" w:color="auto" w:sz="4" w:space="0"/>
            </w:tcBorders>
            <w:shd w:val="clear" w:color="auto" w:fill="auto"/>
            <w:vAlign w:val="center"/>
          </w:tcPr>
          <w:p>
            <w:pPr>
              <w:spacing w:line="240" w:lineRule="auto"/>
              <w:ind w:firstLine="420"/>
              <w:rPr>
                <w:rFonts w:ascii="宋体" w:hAnsi="宋体"/>
                <w:color w:val="auto"/>
                <w:sz w:val="21"/>
                <w:szCs w:val="21"/>
                <w:highlight w:val="none"/>
              </w:rPr>
            </w:pPr>
          </w:p>
        </w:tc>
        <w:tc>
          <w:tcPr>
            <w:tcW w:w="1655" w:type="dxa"/>
            <w:tcBorders>
              <w:top w:val="single" w:color="auto" w:sz="4" w:space="0"/>
              <w:left w:val="nil"/>
              <w:bottom w:val="single" w:color="auto" w:sz="4"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专业限选课程</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6</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130</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5.17%</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7</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4.59%</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71" w:type="dxa"/>
            <w:vMerge w:val="continue"/>
            <w:tcBorders>
              <w:top w:val="single" w:color="auto" w:sz="6" w:space="0"/>
              <w:left w:val="single" w:color="auto" w:sz="12" w:space="0"/>
              <w:bottom w:val="single" w:color="auto" w:sz="6" w:space="0"/>
              <w:right w:val="single" w:color="auto" w:sz="4" w:space="0"/>
            </w:tcBorders>
            <w:shd w:val="clear" w:color="auto" w:fill="auto"/>
            <w:vAlign w:val="center"/>
          </w:tcPr>
          <w:p>
            <w:pPr>
              <w:spacing w:line="240" w:lineRule="auto"/>
              <w:ind w:firstLine="420"/>
              <w:rPr>
                <w:rFonts w:ascii="宋体" w:hAnsi="宋体"/>
                <w:color w:val="auto"/>
                <w:sz w:val="21"/>
                <w:szCs w:val="21"/>
                <w:highlight w:val="none"/>
              </w:rPr>
            </w:pPr>
          </w:p>
        </w:tc>
        <w:tc>
          <w:tcPr>
            <w:tcW w:w="1655" w:type="dxa"/>
            <w:tcBorders>
              <w:top w:val="single" w:color="auto" w:sz="4" w:space="0"/>
              <w:left w:val="nil"/>
              <w:bottom w:val="single" w:color="auto" w:sz="4"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小计</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default" w:ascii="宋体" w:hAnsi="宋体" w:cs="宋体"/>
                <w:b w:val="0"/>
                <w:bCs/>
                <w:color w:val="auto"/>
                <w:kern w:val="0"/>
                <w:sz w:val="21"/>
                <w:szCs w:val="21"/>
                <w:highlight w:val="none"/>
                <w:lang w:eastAsia="zh-CN" w:bidi="ar"/>
              </w:rPr>
              <w:t>1</w:t>
            </w:r>
            <w:r>
              <w:rPr>
                <w:rFonts w:hint="eastAsia" w:ascii="宋体" w:hAnsi="宋体" w:cs="宋体"/>
                <w:b w:val="0"/>
                <w:bCs/>
                <w:color w:val="auto"/>
                <w:kern w:val="0"/>
                <w:sz w:val="21"/>
                <w:szCs w:val="21"/>
                <w:highlight w:val="none"/>
                <w:lang w:val="en-US" w:eastAsia="zh-CN" w:bidi="ar"/>
              </w:rPr>
              <w:t>1</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default" w:ascii="宋体" w:hAnsi="宋体" w:cs="宋体"/>
                <w:b w:val="0"/>
                <w:bCs/>
                <w:color w:val="auto"/>
                <w:kern w:val="0"/>
                <w:sz w:val="21"/>
                <w:szCs w:val="21"/>
                <w:highlight w:val="none"/>
                <w:lang w:val="en-US" w:bidi="ar"/>
              </w:rPr>
            </w:pPr>
            <w:r>
              <w:rPr>
                <w:rFonts w:hint="eastAsia" w:ascii="宋体" w:hAnsi="宋体" w:cs="宋体"/>
                <w:b w:val="0"/>
                <w:bCs/>
                <w:color w:val="auto"/>
                <w:kern w:val="0"/>
                <w:sz w:val="21"/>
                <w:szCs w:val="21"/>
                <w:highlight w:val="none"/>
                <w:lang w:val="en-US" w:eastAsia="zh-CN" w:bidi="ar"/>
              </w:rPr>
              <w:t>272</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10.81%</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val="0"/>
                <w:bCs/>
                <w:color w:val="auto"/>
                <w:kern w:val="0"/>
                <w:sz w:val="21"/>
                <w:szCs w:val="21"/>
                <w:highlight w:val="none"/>
                <w:lang w:bidi="ar"/>
              </w:rPr>
            </w:pPr>
            <w:r>
              <w:rPr>
                <w:rFonts w:hint="eastAsia" w:ascii="宋体" w:hAnsi="宋体" w:cs="宋体"/>
                <w:b w:val="0"/>
                <w:bCs/>
                <w:color w:val="auto"/>
                <w:kern w:val="0"/>
                <w:sz w:val="21"/>
                <w:szCs w:val="21"/>
                <w:highlight w:val="none"/>
                <w:lang w:val="en-US" w:eastAsia="zh-CN" w:bidi="ar"/>
              </w:rPr>
              <w:t>12</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7.87%</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jc w:val="center"/>
        </w:trPr>
        <w:tc>
          <w:tcPr>
            <w:tcW w:w="2426"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auto"/>
              <w:ind w:firstLine="0" w:firstLineChars="0"/>
              <w:jc w:val="center"/>
              <w:rPr>
                <w:rFonts w:ascii="宋体" w:hAnsi="宋体" w:cs="宋体"/>
                <w:b/>
                <w:color w:val="auto"/>
                <w:kern w:val="0"/>
                <w:sz w:val="21"/>
                <w:szCs w:val="21"/>
                <w:highlight w:val="none"/>
              </w:rPr>
            </w:pPr>
            <w:r>
              <w:rPr>
                <w:rFonts w:ascii="宋体" w:hAnsi="宋体" w:cs="宋体"/>
                <w:b/>
                <w:color w:val="auto"/>
                <w:kern w:val="0"/>
                <w:sz w:val="21"/>
                <w:szCs w:val="21"/>
                <w:highlight w:val="none"/>
                <w:lang w:bidi="ar"/>
              </w:rPr>
              <w:t>合计</w:t>
            </w:r>
          </w:p>
        </w:tc>
        <w:tc>
          <w:tcPr>
            <w:tcW w:w="97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default" w:ascii="宋体" w:hAnsi="宋体" w:cs="宋体"/>
                <w:b/>
                <w:bCs w:val="0"/>
                <w:color w:val="auto"/>
                <w:kern w:val="0"/>
                <w:sz w:val="21"/>
                <w:szCs w:val="21"/>
                <w:highlight w:val="none"/>
                <w:lang w:val="en-US" w:bidi="ar"/>
              </w:rPr>
            </w:pPr>
            <w:r>
              <w:rPr>
                <w:rFonts w:hint="eastAsia" w:ascii="宋体" w:hAnsi="宋体" w:cs="宋体"/>
                <w:b/>
                <w:bCs w:val="0"/>
                <w:color w:val="auto"/>
                <w:kern w:val="0"/>
                <w:sz w:val="21"/>
                <w:szCs w:val="21"/>
                <w:highlight w:val="none"/>
                <w:lang w:val="en-US" w:eastAsia="zh-CN" w:bidi="ar"/>
              </w:rPr>
              <w:t>50</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default" w:ascii="宋体" w:hAnsi="宋体" w:cs="宋体"/>
                <w:b/>
                <w:bCs w:val="0"/>
                <w:color w:val="auto"/>
                <w:kern w:val="0"/>
                <w:sz w:val="21"/>
                <w:szCs w:val="21"/>
                <w:highlight w:val="none"/>
                <w:lang w:val="en-US" w:bidi="ar"/>
              </w:rPr>
            </w:pPr>
            <w:r>
              <w:rPr>
                <w:rFonts w:hint="eastAsia" w:ascii="宋体" w:hAnsi="宋体" w:cs="宋体"/>
                <w:b/>
                <w:bCs w:val="0"/>
                <w:color w:val="auto"/>
                <w:kern w:val="0"/>
                <w:sz w:val="21"/>
                <w:szCs w:val="21"/>
                <w:highlight w:val="none"/>
                <w:lang w:val="en-US" w:eastAsia="zh-CN" w:bidi="ar"/>
              </w:rPr>
              <w:t>2516</w:t>
            </w:r>
          </w:p>
        </w:tc>
        <w:tc>
          <w:tcPr>
            <w:tcW w:w="141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bCs w:val="0"/>
                <w:color w:val="auto"/>
                <w:kern w:val="0"/>
                <w:sz w:val="21"/>
                <w:szCs w:val="21"/>
                <w:highlight w:val="none"/>
                <w:lang w:val="en-US" w:eastAsia="zh-CN" w:bidi="ar"/>
              </w:rPr>
            </w:pPr>
            <w:r>
              <w:rPr>
                <w:rFonts w:hint="eastAsia" w:ascii="宋体" w:hAnsi="宋体" w:cs="宋体"/>
                <w:b/>
                <w:bCs w:val="0"/>
                <w:color w:val="auto"/>
                <w:kern w:val="0"/>
                <w:sz w:val="21"/>
                <w:szCs w:val="21"/>
                <w:highlight w:val="none"/>
                <w:lang w:val="en-US" w:eastAsia="zh-CN" w:bidi="ar"/>
              </w:rPr>
              <w:t>100.00%</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default" w:ascii="宋体" w:hAnsi="宋体" w:cs="宋体"/>
                <w:b/>
                <w:bCs w:val="0"/>
                <w:color w:val="auto"/>
                <w:kern w:val="0"/>
                <w:sz w:val="21"/>
                <w:szCs w:val="21"/>
                <w:highlight w:val="none"/>
                <w:lang w:val="en-US" w:bidi="ar"/>
              </w:rPr>
            </w:pPr>
            <w:r>
              <w:rPr>
                <w:rFonts w:hint="eastAsia" w:ascii="宋体" w:hAnsi="宋体" w:cs="宋体"/>
                <w:b/>
                <w:bCs w:val="0"/>
                <w:color w:val="auto"/>
                <w:kern w:val="0"/>
                <w:sz w:val="21"/>
                <w:szCs w:val="21"/>
                <w:highlight w:val="none"/>
                <w:lang w:val="en-US" w:eastAsia="zh-CN" w:bidi="ar"/>
              </w:rPr>
              <w:t>152.5</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ind w:firstLine="0" w:firstLineChars="0"/>
              <w:jc w:val="center"/>
              <w:rPr>
                <w:rFonts w:hint="eastAsia" w:ascii="宋体" w:hAnsi="宋体" w:cs="宋体"/>
                <w:b/>
                <w:bCs w:val="0"/>
                <w:color w:val="auto"/>
                <w:kern w:val="0"/>
                <w:sz w:val="21"/>
                <w:szCs w:val="21"/>
                <w:highlight w:val="none"/>
                <w:lang w:val="en-US" w:eastAsia="zh-CN" w:bidi="ar"/>
              </w:rPr>
            </w:pPr>
            <w:r>
              <w:rPr>
                <w:rFonts w:hint="eastAsia" w:ascii="宋体" w:hAnsi="宋体" w:cs="宋体"/>
                <w:b/>
                <w:bCs w:val="0"/>
                <w:color w:val="auto"/>
                <w:kern w:val="0"/>
                <w:sz w:val="21"/>
                <w:szCs w:val="21"/>
                <w:highlight w:val="none"/>
                <w:lang w:val="en-US" w:eastAsia="zh-CN" w:bidi="ar"/>
              </w:rPr>
              <w:t>100.00%</w:t>
            </w:r>
          </w:p>
        </w:tc>
        <w:tc>
          <w:tcPr>
            <w:tcW w:w="1217"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ind w:firstLine="0" w:firstLineChars="0"/>
              <w:jc w:val="center"/>
              <w:rPr>
                <w:rFonts w:ascii="宋体" w:hAnsi="宋体" w:cs="宋体"/>
                <w:b/>
                <w:bCs w:val="0"/>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3399" w:type="dxa"/>
            <w:gridSpan w:val="3"/>
            <w:tcBorders>
              <w:top w:val="single" w:color="auto" w:sz="6" w:space="0"/>
              <w:left w:val="single" w:color="auto" w:sz="12" w:space="0"/>
              <w:bottom w:val="single" w:color="auto" w:sz="12" w:space="0"/>
              <w:right w:val="single" w:color="auto" w:sz="6"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r>
              <w:rPr>
                <w:rFonts w:ascii="宋体" w:hAnsi="宋体" w:cs="宋体"/>
                <w:color w:val="auto"/>
                <w:kern w:val="0"/>
                <w:sz w:val="21"/>
                <w:szCs w:val="21"/>
                <w:highlight w:val="none"/>
                <w:lang w:bidi="ar"/>
              </w:rPr>
              <w:t>实践教学学时占总时数的比例（%）</w:t>
            </w:r>
          </w:p>
        </w:tc>
        <w:tc>
          <w:tcPr>
            <w:tcW w:w="5888" w:type="dxa"/>
            <w:gridSpan w:val="5"/>
            <w:tcBorders>
              <w:top w:val="single" w:color="auto" w:sz="6" w:space="0"/>
              <w:left w:val="single" w:color="auto" w:sz="6" w:space="0"/>
              <w:bottom w:val="single" w:color="auto" w:sz="12" w:space="0"/>
              <w:right w:val="single" w:color="auto" w:sz="12" w:space="0"/>
            </w:tcBorders>
            <w:shd w:val="clear" w:color="auto" w:fill="auto"/>
            <w:vAlign w:val="center"/>
          </w:tcPr>
          <w:p>
            <w:pPr>
              <w:spacing w:line="240" w:lineRule="auto"/>
              <w:ind w:firstLine="0" w:firstLineChars="0"/>
              <w:jc w:val="center"/>
              <w:rPr>
                <w:rFonts w:ascii="宋体" w:hAnsi="宋体" w:cs="宋体"/>
                <w:color w:val="auto"/>
                <w:kern w:val="0"/>
                <w:sz w:val="21"/>
                <w:szCs w:val="21"/>
                <w:highlight w:val="none"/>
              </w:rPr>
            </w:pPr>
            <w:r>
              <w:rPr>
                <w:rFonts w:ascii="宋体" w:hAnsi="宋体" w:cs="宋体"/>
                <w:color w:val="auto"/>
                <w:kern w:val="0"/>
                <w:sz w:val="21"/>
                <w:szCs w:val="21"/>
                <w:highlight w:val="none"/>
                <w:lang w:bidi="ar"/>
              </w:rPr>
              <w:t>实践教学学时/总学时</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1512</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2516</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60.1</w:t>
            </w:r>
            <w:r>
              <w:rPr>
                <w:rFonts w:hint="eastAsia" w:ascii="宋体" w:hAnsi="宋体" w:cs="宋体"/>
                <w:color w:val="auto"/>
                <w:kern w:val="0"/>
                <w:sz w:val="21"/>
                <w:szCs w:val="21"/>
                <w:highlight w:val="none"/>
              </w:rPr>
              <w:t>%</w:t>
            </w:r>
          </w:p>
        </w:tc>
      </w:tr>
    </w:tbl>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十、人才培养方案的特色与创新</w:t>
      </w:r>
    </w:p>
    <w:p>
      <w:pPr>
        <w:ind w:firstLine="482"/>
        <w:jc w:val="left"/>
        <w:rPr>
          <w:rFonts w:ascii="宋体" w:hAnsi="宋体" w:cs="宋体"/>
          <w:color w:val="auto"/>
          <w:highlight w:val="none"/>
        </w:rPr>
      </w:pPr>
      <w:r>
        <w:rPr>
          <w:rFonts w:hint="eastAsia" w:ascii="宋体" w:hAnsi="宋体" w:cs="宋体"/>
          <w:b/>
          <w:bCs/>
          <w:color w:val="auto"/>
          <w:highlight w:val="none"/>
        </w:rPr>
        <w:t>1.专业建设模式特色</w:t>
      </w:r>
    </w:p>
    <w:p>
      <w:pPr>
        <w:ind w:firstLine="480"/>
        <w:jc w:val="left"/>
        <w:rPr>
          <w:rFonts w:ascii="宋体" w:hAnsi="宋体" w:cs="宋体"/>
          <w:color w:val="auto"/>
          <w:highlight w:val="none"/>
        </w:rPr>
      </w:pPr>
      <w:r>
        <w:rPr>
          <w:rFonts w:hint="eastAsia" w:ascii="宋体" w:hAnsi="宋体" w:cs="宋体"/>
          <w:color w:val="auto"/>
          <w:highlight w:val="none"/>
        </w:rPr>
        <w:t>电子商务专业建设紧跟电商产业发展形势，依据行业、企业需求，服务于区域经济发展，以服务为宗旨，以就业为导向，走产学结合道路。制定贴近企业岗位群需求的课程体系，引进企业一线技术人员和管理人员，建设一支高素质、高技能的双师团队，依托大学科技园，逐步推开项目化教学、过程化教学，不断提升社会服务能力。</w:t>
      </w:r>
    </w:p>
    <w:p>
      <w:pPr>
        <w:ind w:firstLine="482"/>
        <w:jc w:val="left"/>
        <w:rPr>
          <w:rFonts w:ascii="宋体" w:hAnsi="宋体" w:cs="宋体"/>
          <w:color w:val="auto"/>
          <w:highlight w:val="none"/>
        </w:rPr>
      </w:pPr>
      <w:r>
        <w:rPr>
          <w:rFonts w:hint="eastAsia" w:ascii="宋体" w:hAnsi="宋体" w:cs="宋体"/>
          <w:b/>
          <w:bCs/>
          <w:color w:val="auto"/>
          <w:highlight w:val="none"/>
        </w:rPr>
        <w:t>2.课程体系特色</w:t>
      </w:r>
    </w:p>
    <w:p>
      <w:pPr>
        <w:ind w:firstLine="480"/>
        <w:jc w:val="left"/>
        <w:rPr>
          <w:rFonts w:ascii="宋体" w:hAnsi="宋体" w:cs="宋体"/>
          <w:color w:val="auto"/>
          <w:highlight w:val="none"/>
        </w:rPr>
      </w:pPr>
      <w:r>
        <w:rPr>
          <w:rFonts w:hint="eastAsia" w:ascii="宋体" w:hAnsi="宋体" w:cs="宋体"/>
          <w:color w:val="auto"/>
          <w:highlight w:val="none"/>
        </w:rPr>
        <w:t>围绕社会需求不断更新完善人才培养方案，优化“模块化、组合型、进阶式”的课程体系。加强创新创业和就业指导课程教学，课程贯彻各个学期，每年至少举办一次创新创业形式的大赛，培养提高学生创新精神和创业意识；加强专业课程学习，在广泛学习的基础上，安排一系列核心技能专业课，采取进阶式的授课方法，贯穿各个学期，力求做到“一专多能”；加强实践教学，将学生参与实训项目或大赛与相应的专业课程对接，实施学分替换制；积极研发模块化课程，组件课程研发团队，搜集研发紧贴市场规律和发展形势的最新课程。</w:t>
      </w:r>
    </w:p>
    <w:p>
      <w:pPr>
        <w:ind w:firstLine="480"/>
        <w:jc w:val="left"/>
        <w:rPr>
          <w:rFonts w:ascii="宋体" w:hAnsi="宋体" w:cs="宋体"/>
          <w:b/>
          <w:bCs/>
          <w:color w:val="auto"/>
          <w:highlight w:val="none"/>
        </w:rPr>
      </w:pPr>
      <w:r>
        <w:rPr>
          <w:rFonts w:hint="eastAsia" w:ascii="宋体" w:hAnsi="宋体" w:cs="宋体"/>
          <w:color w:val="auto"/>
          <w:highlight w:val="none"/>
        </w:rPr>
        <w:t>3</w:t>
      </w:r>
      <w:r>
        <w:rPr>
          <w:rFonts w:hint="eastAsia" w:ascii="宋体" w:hAnsi="宋体" w:cs="宋体"/>
          <w:b/>
          <w:bCs/>
          <w:color w:val="auto"/>
          <w:highlight w:val="none"/>
        </w:rPr>
        <w:t>.教学体系特色</w:t>
      </w:r>
    </w:p>
    <w:p>
      <w:pPr>
        <w:ind w:firstLine="480"/>
        <w:jc w:val="left"/>
        <w:rPr>
          <w:rFonts w:ascii="宋体" w:hAnsi="宋体" w:cs="宋体"/>
          <w:color w:val="auto"/>
          <w:highlight w:val="none"/>
        </w:rPr>
      </w:pPr>
      <w:r>
        <w:rPr>
          <w:rFonts w:hint="eastAsia" w:ascii="宋体" w:hAnsi="宋体" w:cs="宋体"/>
          <w:color w:val="auto"/>
          <w:highlight w:val="none"/>
        </w:rPr>
        <w:t>优化实训教学，以职业能力培养为主线，通过三个层级实施进阶式发展，即“课内技能训练”（专业课引入实训项目，达到教学做一体）、“综合技能训练”（从大二开始每学期安排2-3个月电商商务实战，提前感知职场）、“应用技能训练”（遴选50%以上优秀学生从大二开始，提前进入生产性实训基地进行跟岗实习）、“全员顶岗实习”（大三开始后，全体学生进入实际岗位进行顶岗实习）；激发学生潜能，在教学过程中以学生为中心，企业导师作为项目负责人，依据学生特点量体裁衣实施精准教学，激发学生积极性与自主性。</w:t>
      </w:r>
    </w:p>
    <w:p>
      <w:pPr>
        <w:keepNext/>
        <w:keepLines/>
        <w:spacing w:before="120" w:beforeLines="50" w:after="120" w:afterLines="50"/>
        <w:ind w:firstLine="562"/>
        <w:rPr>
          <w:rFonts w:ascii="Arial" w:hAnsi="Arial" w:eastAsia="黑体"/>
          <w:b/>
          <w:bCs/>
          <w:color w:val="auto"/>
          <w:sz w:val="28"/>
          <w:szCs w:val="32"/>
          <w:highlight w:val="none"/>
        </w:rPr>
      </w:pPr>
      <w:r>
        <w:rPr>
          <w:rFonts w:hint="eastAsia" w:ascii="Arial" w:hAnsi="Arial" w:eastAsia="黑体"/>
          <w:b/>
          <w:bCs/>
          <w:color w:val="auto"/>
          <w:sz w:val="28"/>
          <w:szCs w:val="32"/>
          <w:highlight w:val="none"/>
        </w:rPr>
        <w:t>十一、附件</w:t>
      </w:r>
    </w:p>
    <w:p>
      <w:pPr>
        <w:ind w:firstLine="480"/>
        <w:rPr>
          <w:rFonts w:ascii="宋体" w:hAnsi="宋体" w:cstheme="minorBidi"/>
          <w:color w:val="auto"/>
          <w:kern w:val="44"/>
          <w:highlight w:val="none"/>
        </w:rPr>
      </w:pPr>
      <w:r>
        <w:rPr>
          <w:rFonts w:hint="eastAsia" w:ascii="Arial" w:hAnsi="Arial" w:cstheme="minorBidi"/>
          <w:bCs/>
          <w:color w:val="auto"/>
          <w:kern w:val="44"/>
          <w:szCs w:val="28"/>
          <w:highlight w:val="none"/>
        </w:rPr>
        <w:t>1.电子商务专业人才培养方案拓扑图</w:t>
      </w:r>
    </w:p>
    <w:p>
      <w:pPr>
        <w:ind w:firstLine="480"/>
        <w:rPr>
          <w:rFonts w:ascii="宋体" w:hAnsi="宋体" w:cstheme="minorBidi"/>
          <w:color w:val="auto"/>
          <w:kern w:val="44"/>
          <w:highlight w:val="none"/>
        </w:rPr>
      </w:pPr>
      <w:r>
        <w:rPr>
          <w:rFonts w:hint="eastAsia" w:ascii="Arial" w:hAnsi="Arial" w:cstheme="minorBidi"/>
          <w:bCs/>
          <w:color w:val="auto"/>
          <w:kern w:val="44"/>
          <w:szCs w:val="28"/>
          <w:highlight w:val="none"/>
        </w:rPr>
        <w:t>2.</w:t>
      </w:r>
      <w:r>
        <w:rPr>
          <w:rFonts w:hint="eastAsia" w:ascii="宋体" w:hAnsi="宋体" w:cstheme="minorBidi"/>
          <w:color w:val="auto"/>
          <w:kern w:val="44"/>
          <w:highlight w:val="none"/>
        </w:rPr>
        <w:t>专业课程设置及教学安排</w:t>
      </w:r>
    </w:p>
    <w:p>
      <w:pPr>
        <w:keepNext/>
        <w:keepLines/>
        <w:spacing w:before="120" w:beforeLines="50" w:after="120" w:afterLines="50"/>
        <w:ind w:firstLine="0" w:firstLineChars="0"/>
        <w:jc w:val="center"/>
        <w:rPr>
          <w:rFonts w:asciiTheme="minorHAnsi" w:hAnsiTheme="minorHAnsi" w:eastAsiaTheme="minorHAnsi"/>
          <w:bCs/>
          <w:color w:val="auto"/>
          <w:kern w:val="44"/>
          <w:sz w:val="28"/>
          <w:szCs w:val="28"/>
          <w:highlight w:val="none"/>
        </w:rPr>
      </w:pPr>
      <w:r>
        <w:rPr>
          <w:rFonts w:ascii="宋体" w:hAnsi="宋体"/>
          <w:b/>
          <w:bCs/>
          <w:color w:val="auto"/>
          <w:kern w:val="44"/>
          <w:szCs w:val="28"/>
          <w:highlight w:val="none"/>
        </w:rPr>
        <w:br w:type="page"/>
      </w:r>
      <w:r>
        <w:rPr>
          <w:rFonts w:hint="eastAsia" w:asciiTheme="minorHAnsi" w:hAnsiTheme="minorHAnsi" w:eastAsiaTheme="minorHAnsi"/>
          <w:b/>
          <w:bCs/>
          <w:color w:val="auto"/>
          <w:kern w:val="44"/>
          <w:sz w:val="28"/>
          <w:szCs w:val="28"/>
          <w:highlight w:val="none"/>
        </w:rPr>
        <w:t>电子商务专业人才培养方案拓扑图</w:t>
      </w:r>
    </w:p>
    <w:p>
      <w:pPr>
        <w:spacing w:line="240" w:lineRule="auto"/>
        <w:ind w:firstLine="0" w:firstLineChars="0"/>
        <w:jc w:val="center"/>
        <w:rPr>
          <w:rFonts w:cs="宋体" w:asciiTheme="minorHAnsi" w:hAnsiTheme="minorHAnsi" w:eastAsiaTheme="minorHAnsi"/>
          <w:color w:val="auto"/>
          <w:kern w:val="0"/>
          <w:sz w:val="28"/>
          <w:szCs w:val="28"/>
          <w:highlight w:val="none"/>
        </w:rPr>
      </w:pPr>
      <w:r>
        <w:drawing>
          <wp:inline distT="0" distB="0" distL="114300" distR="114300">
            <wp:extent cx="5269865" cy="6269990"/>
            <wp:effectExtent l="0" t="0" r="698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9865" cy="6269990"/>
                    </a:xfrm>
                    <a:prstGeom prst="rect">
                      <a:avLst/>
                    </a:prstGeom>
                    <a:noFill/>
                    <a:ln>
                      <a:noFill/>
                    </a:ln>
                  </pic:spPr>
                </pic:pic>
              </a:graphicData>
            </a:graphic>
          </wp:inline>
        </w:drawing>
      </w:r>
      <w:r>
        <w:rPr>
          <w:rFonts w:asciiTheme="minorHAnsi" w:hAnsiTheme="minorHAnsi" w:cstheme="minorBidi"/>
          <w:b/>
          <w:color w:val="auto"/>
          <w:kern w:val="0"/>
          <w:highlight w:val="none"/>
        </w:rPr>
        <w:br w:type="page"/>
      </w:r>
      <w:r>
        <w:rPr>
          <w:rFonts w:hint="eastAsia" w:cs="宋体" w:asciiTheme="minorHAnsi" w:hAnsiTheme="minorHAnsi" w:eastAsiaTheme="minorHAnsi"/>
          <w:b/>
          <w:color w:val="auto"/>
          <w:kern w:val="0"/>
          <w:sz w:val="28"/>
          <w:szCs w:val="28"/>
          <w:highlight w:val="none"/>
        </w:rPr>
        <w:t>课程设置及教学安排表</w:t>
      </w:r>
    </w:p>
    <w:tbl>
      <w:tblPr>
        <w:tblStyle w:val="4"/>
        <w:tblW w:w="5247" w:type="pct"/>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97"/>
        <w:gridCol w:w="827"/>
        <w:gridCol w:w="1731"/>
        <w:gridCol w:w="521"/>
        <w:gridCol w:w="458"/>
        <w:gridCol w:w="474"/>
        <w:gridCol w:w="456"/>
        <w:gridCol w:w="422"/>
        <w:gridCol w:w="684"/>
        <w:gridCol w:w="571"/>
        <w:gridCol w:w="571"/>
        <w:gridCol w:w="571"/>
        <w:gridCol w:w="571"/>
        <w:gridCol w:w="495"/>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2955" w:type="dxa"/>
            <w:gridSpan w:val="3"/>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cs="黑体" w:asciiTheme="minorHAnsi" w:hAnsiTheme="minorHAnsi" w:eastAsiaTheme="minorHAnsi"/>
                <w:b/>
                <w:color w:val="auto"/>
                <w:kern w:val="0"/>
                <w:sz w:val="18"/>
                <w:szCs w:val="18"/>
                <w:highlight w:val="none"/>
              </w:rPr>
              <w:t>专业：电子商务</w:t>
            </w:r>
          </w:p>
        </w:tc>
        <w:tc>
          <w:tcPr>
            <w:tcW w:w="521" w:type="dxa"/>
            <w:vMerge w:val="restart"/>
            <w:vAlign w:val="center"/>
          </w:tcPr>
          <w:p>
            <w:pPr>
              <w:widowControl/>
              <w:adjustRightInd w:val="0"/>
              <w:snapToGrid w:val="0"/>
              <w:spacing w:line="240" w:lineRule="auto"/>
              <w:ind w:firstLine="0" w:firstLineChars="0"/>
              <w:jc w:val="center"/>
              <w:textAlignment w:val="center"/>
              <w:rPr>
                <w:rFonts w:hint="eastAsia" w:eastAsia="宋体" w:asciiTheme="minorHAnsi" w:hAnsiTheme="minorHAnsi"/>
                <w:b/>
                <w:color w:val="auto"/>
                <w:kern w:val="0"/>
                <w:sz w:val="18"/>
                <w:szCs w:val="18"/>
                <w:highlight w:val="none"/>
                <w:lang w:eastAsia="zh-CN"/>
              </w:rPr>
            </w:pPr>
            <w:r>
              <w:rPr>
                <w:rFonts w:hint="eastAsia" w:asciiTheme="minorHAnsi" w:hAnsiTheme="minorHAnsi" w:eastAsiaTheme="minorHAnsi"/>
                <w:b/>
                <w:color w:val="auto"/>
                <w:kern w:val="0"/>
                <w:sz w:val="18"/>
                <w:szCs w:val="18"/>
                <w:highlight w:val="none"/>
              </w:rPr>
              <w:t>学</w:t>
            </w:r>
          </w:p>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分</w:t>
            </w:r>
          </w:p>
        </w:tc>
        <w:tc>
          <w:tcPr>
            <w:tcW w:w="1810" w:type="dxa"/>
            <w:gridSpan w:val="4"/>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教学学时数</w:t>
            </w:r>
          </w:p>
        </w:tc>
        <w:tc>
          <w:tcPr>
            <w:tcW w:w="3463" w:type="dxa"/>
            <w:gridSpan w:val="6"/>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按学年及学期进行分配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atLeast"/>
          <w:tblHeader/>
          <w:jc w:val="center"/>
        </w:trPr>
        <w:tc>
          <w:tcPr>
            <w:tcW w:w="397" w:type="dxa"/>
            <w:vMerge w:val="restart"/>
            <w:vAlign w:val="center"/>
          </w:tcPr>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公</w:t>
            </w:r>
          </w:p>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共</w:t>
            </w:r>
          </w:p>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基</w:t>
            </w:r>
          </w:p>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础</w:t>
            </w:r>
          </w:p>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课</w:t>
            </w:r>
          </w:p>
        </w:tc>
        <w:tc>
          <w:tcPr>
            <w:tcW w:w="827" w:type="dxa"/>
            <w:vMerge w:val="restart"/>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课程编码</w:t>
            </w:r>
          </w:p>
        </w:tc>
        <w:tc>
          <w:tcPr>
            <w:tcW w:w="1731" w:type="dxa"/>
            <w:vMerge w:val="restart"/>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课程名称</w:t>
            </w:r>
          </w:p>
        </w:tc>
        <w:tc>
          <w:tcPr>
            <w:tcW w:w="521"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458" w:type="dxa"/>
            <w:vMerge w:val="restart"/>
            <w:vAlign w:val="center"/>
          </w:tcPr>
          <w:p>
            <w:pPr>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总</w:t>
            </w:r>
          </w:p>
          <w:p>
            <w:pPr>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学时</w:t>
            </w:r>
          </w:p>
        </w:tc>
        <w:tc>
          <w:tcPr>
            <w:tcW w:w="474" w:type="dxa"/>
            <w:vMerge w:val="restart"/>
            <w:vAlign w:val="center"/>
          </w:tcPr>
          <w:p>
            <w:pPr>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理论</w:t>
            </w:r>
          </w:p>
          <w:p>
            <w:pPr>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学时</w:t>
            </w:r>
          </w:p>
        </w:tc>
        <w:tc>
          <w:tcPr>
            <w:tcW w:w="456" w:type="dxa"/>
            <w:vMerge w:val="restart"/>
            <w:vAlign w:val="center"/>
          </w:tcPr>
          <w:p>
            <w:pPr>
              <w:spacing w:line="240" w:lineRule="auto"/>
              <w:ind w:firstLine="0" w:firstLineChars="0"/>
              <w:jc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实践</w:t>
            </w:r>
          </w:p>
          <w:p>
            <w:pPr>
              <w:spacing w:line="240" w:lineRule="auto"/>
              <w:ind w:firstLine="0" w:firstLineChars="0"/>
              <w:jc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学时</w:t>
            </w:r>
          </w:p>
        </w:tc>
        <w:tc>
          <w:tcPr>
            <w:tcW w:w="422" w:type="dxa"/>
            <w:vMerge w:val="restart"/>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课外线上学时</w:t>
            </w:r>
          </w:p>
        </w:tc>
        <w:tc>
          <w:tcPr>
            <w:tcW w:w="1255" w:type="dxa"/>
            <w:gridSpan w:val="2"/>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第一学年</w:t>
            </w:r>
          </w:p>
        </w:tc>
        <w:tc>
          <w:tcPr>
            <w:tcW w:w="1142" w:type="dxa"/>
            <w:gridSpan w:val="2"/>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第二学年</w:t>
            </w:r>
          </w:p>
        </w:tc>
        <w:tc>
          <w:tcPr>
            <w:tcW w:w="1066" w:type="dxa"/>
            <w:gridSpan w:val="2"/>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第三学年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1731"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521"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458" w:type="dxa"/>
            <w:vMerge w:val="continue"/>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p>
        </w:tc>
        <w:tc>
          <w:tcPr>
            <w:tcW w:w="474" w:type="dxa"/>
            <w:vMerge w:val="continue"/>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p>
        </w:tc>
        <w:tc>
          <w:tcPr>
            <w:tcW w:w="456" w:type="dxa"/>
            <w:vMerge w:val="continue"/>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p>
        </w:tc>
        <w:tc>
          <w:tcPr>
            <w:tcW w:w="422" w:type="dxa"/>
            <w:vMerge w:val="continue"/>
          </w:tcPr>
          <w:p>
            <w:pPr>
              <w:widowControl/>
              <w:adjustRightInd w:val="0"/>
              <w:snapToGrid w:val="0"/>
              <w:spacing w:line="240" w:lineRule="auto"/>
              <w:ind w:firstLine="0" w:firstLineChars="0"/>
              <w:jc w:val="center"/>
              <w:textAlignment w:val="center"/>
              <w:rPr>
                <w:rFonts w:asciiTheme="minorHAnsi" w:hAnsiTheme="minorHAnsi" w:eastAsiaTheme="minorHAnsi"/>
                <w:b/>
                <w:color w:val="auto"/>
                <w:kern w:val="0"/>
                <w:sz w:val="18"/>
                <w:szCs w:val="18"/>
                <w:highlight w:val="none"/>
              </w:rPr>
            </w:pPr>
          </w:p>
        </w:tc>
        <w:tc>
          <w:tcPr>
            <w:tcW w:w="684"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1</w:t>
            </w: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2</w:t>
            </w: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3</w:t>
            </w: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4</w:t>
            </w: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5</w:t>
            </w:r>
          </w:p>
        </w:tc>
        <w:tc>
          <w:tcPr>
            <w:tcW w:w="495"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6</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1731"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521"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458"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474"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456"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422" w:type="dxa"/>
            <w:vMerge w:val="continue"/>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c>
          <w:tcPr>
            <w:tcW w:w="684"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c>
          <w:tcPr>
            <w:tcW w:w="571"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c>
          <w:tcPr>
            <w:tcW w:w="495" w:type="dxa"/>
            <w:vAlign w:val="center"/>
          </w:tcPr>
          <w:p>
            <w:pPr>
              <w:widowControl/>
              <w:adjustRightInd w:val="0"/>
              <w:snapToGrid w:val="0"/>
              <w:spacing w:line="240" w:lineRule="auto"/>
              <w:ind w:firstLine="0" w:firstLineChars="0"/>
              <w:jc w:val="center"/>
              <w:textAlignment w:val="center"/>
              <w:rPr>
                <w:rFonts w:asciiTheme="minorHAnsi" w:hAnsiTheme="minorHAnsi" w:eastAsiaTheme="minorHAnsi"/>
                <w:b/>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080001</w:t>
            </w:r>
          </w:p>
        </w:tc>
        <w:tc>
          <w:tcPr>
            <w:tcW w:w="1731" w:type="dxa"/>
            <w:vAlign w:val="center"/>
          </w:tcPr>
          <w:p>
            <w:pPr>
              <w:widowControl/>
              <w:spacing w:line="240" w:lineRule="auto"/>
              <w:ind w:firstLine="0" w:firstLineChars="0"/>
              <w:jc w:val="left"/>
              <w:rPr>
                <w:rFonts w:hint="eastAsia" w:eastAsia="宋体" w:cs="宋体" w:asciiTheme="minorHAnsi" w:hAnsiTheme="minorHAnsi"/>
                <w:color w:val="auto"/>
                <w:spacing w:val="-16"/>
                <w:sz w:val="18"/>
                <w:szCs w:val="18"/>
                <w:highlight w:val="none"/>
                <w:lang w:eastAsia="zh-CN"/>
              </w:rPr>
            </w:pPr>
            <w:r>
              <w:rPr>
                <w:rFonts w:hint="eastAsia" w:cs="宋体" w:asciiTheme="minorHAnsi" w:hAnsiTheme="minorHAnsi" w:eastAsiaTheme="minorHAnsi"/>
                <w:color w:val="auto"/>
                <w:sz w:val="18"/>
                <w:szCs w:val="18"/>
                <w:highlight w:val="none"/>
              </w:rPr>
              <w:t>■</w:t>
            </w:r>
            <w:r>
              <w:rPr>
                <w:rFonts w:hint="eastAsia" w:cs="宋体" w:asciiTheme="minorHAnsi" w:hAnsiTheme="minorHAnsi"/>
                <w:color w:val="auto"/>
                <w:sz w:val="18"/>
                <w:szCs w:val="18"/>
                <w:highlight w:val="none"/>
                <w:lang w:eastAsia="zh-CN"/>
              </w:rPr>
              <w:t>思想道德与法治</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54</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46</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080003</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形势与政策</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32</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32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040001</w:t>
            </w:r>
          </w:p>
        </w:tc>
        <w:tc>
          <w:tcPr>
            <w:tcW w:w="1731" w:type="dxa"/>
            <w:vAlign w:val="center"/>
          </w:tcPr>
          <w:p>
            <w:pPr>
              <w:widowControl/>
              <w:spacing w:line="240" w:lineRule="auto"/>
              <w:ind w:firstLine="0" w:firstLineChars="0"/>
              <w:jc w:val="left"/>
              <w:rPr>
                <w:rFonts w:hint="eastAsia" w:eastAsia="宋体" w:cs="宋体" w:asciiTheme="minorHAnsi" w:hAnsiTheme="minorHAnsi"/>
                <w:color w:val="auto"/>
                <w:sz w:val="18"/>
                <w:szCs w:val="18"/>
                <w:highlight w:val="none"/>
                <w:lang w:eastAsia="zh-CN"/>
              </w:rPr>
            </w:pPr>
            <w:r>
              <w:rPr>
                <w:rFonts w:hint="eastAsia" w:cs="宋体" w:asciiTheme="minorHAnsi" w:hAnsiTheme="minorHAnsi" w:eastAsiaTheme="minorHAnsi"/>
                <w:color w:val="auto"/>
                <w:sz w:val="18"/>
                <w:szCs w:val="18"/>
                <w:highlight w:val="none"/>
              </w:rPr>
              <w:t>■</w:t>
            </w:r>
            <w:r>
              <w:rPr>
                <w:rFonts w:hint="eastAsia" w:cs="宋体" w:asciiTheme="minorHAnsi" w:hAnsiTheme="minorHAnsi"/>
                <w:color w:val="auto"/>
                <w:sz w:val="18"/>
                <w:szCs w:val="18"/>
                <w:highlight w:val="none"/>
                <w:lang w:eastAsia="zh-CN"/>
              </w:rPr>
              <w:t>信息</w:t>
            </w:r>
            <w:r>
              <w:rPr>
                <w:rFonts w:hint="eastAsia" w:cs="宋体" w:asciiTheme="minorHAnsi" w:hAnsiTheme="minorHAnsi"/>
                <w:color w:val="auto"/>
                <w:sz w:val="18"/>
                <w:szCs w:val="18"/>
                <w:highlight w:val="none"/>
                <w:lang w:val="en-US" w:eastAsia="zh-CN"/>
              </w:rPr>
              <w:t>技术</w:t>
            </w:r>
            <w:r>
              <w:rPr>
                <w:rFonts w:hint="eastAsia" w:cs="宋体" w:asciiTheme="minorHAnsi" w:hAnsiTheme="minorHAnsi"/>
                <w:color w:val="auto"/>
                <w:sz w:val="18"/>
                <w:szCs w:val="18"/>
                <w:highlight w:val="none"/>
                <w:lang w:eastAsia="zh-CN"/>
              </w:rPr>
              <w:t>基础</w:t>
            </w:r>
          </w:p>
        </w:tc>
        <w:tc>
          <w:tcPr>
            <w:tcW w:w="521" w:type="dxa"/>
            <w:vAlign w:val="center"/>
          </w:tcPr>
          <w:p>
            <w:pPr>
              <w:widowControl/>
              <w:spacing w:line="240" w:lineRule="auto"/>
              <w:ind w:firstLine="0" w:firstLineChars="0"/>
              <w:jc w:val="center"/>
              <w:rPr>
                <w:rFonts w:hint="eastAsia" w:eastAsia="宋体" w:cs="宋体" w:asciiTheme="minorHAnsi" w:hAnsiTheme="minorHAnsi"/>
                <w:color w:val="auto"/>
                <w:sz w:val="18"/>
                <w:szCs w:val="18"/>
                <w:highlight w:val="none"/>
                <w:lang w:val="en-US" w:eastAsia="zh-CN"/>
              </w:rPr>
            </w:pPr>
            <w:r>
              <w:rPr>
                <w:rFonts w:hint="eastAsia" w:cs="宋体" w:asciiTheme="minorHAnsi" w:hAnsiTheme="minorHAnsi"/>
                <w:color w:val="auto"/>
                <w:sz w:val="18"/>
                <w:szCs w:val="18"/>
                <w:highlight w:val="none"/>
                <w:lang w:val="en-US" w:eastAsia="zh-CN"/>
              </w:rPr>
              <w:t>3</w:t>
            </w:r>
          </w:p>
        </w:tc>
        <w:tc>
          <w:tcPr>
            <w:tcW w:w="458" w:type="dxa"/>
            <w:vAlign w:val="center"/>
          </w:tcPr>
          <w:p>
            <w:pPr>
              <w:widowControl/>
              <w:spacing w:line="240" w:lineRule="auto"/>
              <w:ind w:firstLine="0" w:firstLineChars="0"/>
              <w:jc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color w:val="auto"/>
                <w:sz w:val="18"/>
                <w:szCs w:val="18"/>
                <w:highlight w:val="none"/>
                <w:lang w:val="en-US" w:eastAsia="zh-CN"/>
              </w:rPr>
              <w:t>48</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24</w:t>
            </w:r>
          </w:p>
        </w:tc>
        <w:tc>
          <w:tcPr>
            <w:tcW w:w="456" w:type="dxa"/>
            <w:vAlign w:val="center"/>
          </w:tcPr>
          <w:p>
            <w:pPr>
              <w:widowControl/>
              <w:spacing w:line="240" w:lineRule="auto"/>
              <w:ind w:firstLine="0" w:firstLineChars="0"/>
              <w:jc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color w:val="auto"/>
                <w:sz w:val="18"/>
                <w:szCs w:val="18"/>
                <w:highlight w:val="none"/>
                <w:lang w:val="en-US" w:eastAsia="zh-CN"/>
              </w:rPr>
              <w:t>24</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080002</w:t>
            </w:r>
          </w:p>
        </w:tc>
        <w:tc>
          <w:tcPr>
            <w:tcW w:w="1731" w:type="dxa"/>
            <w:vAlign w:val="center"/>
          </w:tcPr>
          <w:p>
            <w:pPr>
              <w:widowControl/>
              <w:spacing w:line="240" w:lineRule="auto"/>
              <w:ind w:firstLine="0" w:firstLineChars="0"/>
              <w:jc w:val="left"/>
              <w:rPr>
                <w:rFonts w:hint="eastAsia" w:eastAsia="宋体" w:cs="宋体" w:asciiTheme="minorHAnsi" w:hAnsiTheme="minorHAnsi"/>
                <w:color w:val="auto"/>
                <w:spacing w:val="-12"/>
                <w:sz w:val="18"/>
                <w:szCs w:val="18"/>
                <w:highlight w:val="none"/>
                <w:lang w:eastAsia="zh-CN"/>
              </w:rPr>
            </w:pPr>
            <w:r>
              <w:rPr>
                <w:rFonts w:hint="eastAsia" w:cs="宋体" w:asciiTheme="minorHAnsi" w:hAnsiTheme="minorHAnsi" w:eastAsiaTheme="minorHAnsi"/>
                <w:color w:val="auto"/>
                <w:spacing w:val="-12"/>
                <w:sz w:val="18"/>
                <w:szCs w:val="18"/>
                <w:highlight w:val="none"/>
              </w:rPr>
              <w:t>■毛泽东思想和中国特色社会主义理论体系概论</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72</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62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110003</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r>
              <w:rPr>
                <w:rFonts w:hint="eastAsia" w:cs="宋体" w:asciiTheme="minorHAnsi" w:hAnsiTheme="minorHAnsi" w:eastAsiaTheme="minorHAnsi"/>
                <w:color w:val="auto"/>
                <w:sz w:val="18"/>
                <w:szCs w:val="18"/>
                <w:highlight w:val="none"/>
                <w:lang w:eastAsia="zh-CN"/>
              </w:rPr>
              <w:t>实用</w:t>
            </w:r>
            <w:r>
              <w:rPr>
                <w:rFonts w:hint="eastAsia" w:cs="宋体" w:asciiTheme="minorHAnsi" w:hAnsiTheme="minorHAnsi" w:eastAsiaTheme="minorHAnsi"/>
                <w:color w:val="auto"/>
                <w:sz w:val="18"/>
                <w:szCs w:val="18"/>
                <w:highlight w:val="none"/>
              </w:rPr>
              <w:t>英语</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6.5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104</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16</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080004</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人际沟通与礼仪</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110001</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体育</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6</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108</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12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96</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120003</w:t>
            </w:r>
          </w:p>
        </w:tc>
        <w:tc>
          <w:tcPr>
            <w:tcW w:w="1731" w:type="dxa"/>
            <w:vAlign w:val="center"/>
          </w:tcPr>
          <w:p>
            <w:pPr>
              <w:widowControl/>
              <w:spacing w:line="240" w:lineRule="auto"/>
              <w:ind w:firstLine="0" w:firstLineChars="0"/>
              <w:jc w:val="left"/>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sz w:val="18"/>
                <w:szCs w:val="18"/>
                <w:highlight w:val="none"/>
              </w:rPr>
              <w:t>▲军事技能</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kern w:val="0"/>
                <w:sz w:val="18"/>
                <w:szCs w:val="18"/>
                <w:highlight w:val="none"/>
              </w:rPr>
              <w:t>2</w:t>
            </w:r>
          </w:p>
        </w:tc>
        <w:tc>
          <w:tcPr>
            <w:tcW w:w="1388" w:type="dxa"/>
            <w:gridSpan w:val="3"/>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112(</w:t>
            </w:r>
            <w:r>
              <w:rPr>
                <w:rFonts w:hint="eastAsia" w:asciiTheme="minorHAnsi" w:hAnsiTheme="minorHAnsi" w:eastAsiaTheme="minorHAnsi"/>
                <w:bCs/>
                <w:color w:val="auto"/>
                <w:kern w:val="0"/>
                <w:sz w:val="18"/>
                <w:szCs w:val="18"/>
                <w:highlight w:val="none"/>
              </w:rPr>
              <w:t>不计入总学时</w:t>
            </w:r>
            <w:r>
              <w:rPr>
                <w:rFonts w:hint="eastAsia" w:cs="宋体" w:asciiTheme="minorHAnsi" w:hAnsiTheme="minorHAnsi" w:eastAsiaTheme="minorHAnsi"/>
                <w:color w:val="auto"/>
                <w:sz w:val="18"/>
                <w:szCs w:val="18"/>
                <w:highlight w:val="none"/>
              </w:rPr>
              <w:t>)</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120004</w:t>
            </w:r>
          </w:p>
        </w:tc>
        <w:tc>
          <w:tcPr>
            <w:tcW w:w="1731" w:type="dxa"/>
            <w:vAlign w:val="center"/>
          </w:tcPr>
          <w:p>
            <w:pPr>
              <w:widowControl/>
              <w:spacing w:line="240" w:lineRule="auto"/>
              <w:ind w:firstLine="0" w:firstLineChars="0"/>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bCs/>
                <w:color w:val="auto"/>
                <w:sz w:val="18"/>
                <w:szCs w:val="18"/>
                <w:highlight w:val="none"/>
              </w:rPr>
              <w:t>军事理论</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sz w:val="18"/>
                <w:szCs w:val="18"/>
                <w:highlight w:val="none"/>
              </w:rPr>
              <w:t>36</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sz w:val="18"/>
                <w:szCs w:val="18"/>
                <w:highlight w:val="none"/>
              </w:rPr>
              <w:t>36</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18/</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18/</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120007</w:t>
            </w:r>
          </w:p>
        </w:tc>
        <w:tc>
          <w:tcPr>
            <w:tcW w:w="1731"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大学生心理健康</w:t>
            </w:r>
          </w:p>
        </w:tc>
        <w:tc>
          <w:tcPr>
            <w:tcW w:w="52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2</w:t>
            </w:r>
          </w:p>
        </w:tc>
        <w:tc>
          <w:tcPr>
            <w:tcW w:w="458"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32</w:t>
            </w:r>
          </w:p>
        </w:tc>
        <w:tc>
          <w:tcPr>
            <w:tcW w:w="474"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32</w:t>
            </w:r>
          </w:p>
        </w:tc>
        <w:tc>
          <w:tcPr>
            <w:tcW w:w="456"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cs="宋体" w:asciiTheme="minorHAnsi" w:hAnsiTheme="minorHAnsi" w:eastAsiaTheme="minorHAnsi"/>
                <w:bCs/>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textAlignment w:val="center"/>
              <w:rPr>
                <w:rFonts w:cs="宋体" w:asciiTheme="minorHAnsi" w:hAnsiTheme="minorHAnsi" w:eastAsiaTheme="minorHAnsi"/>
                <w:bCs/>
                <w:color w:val="auto"/>
                <w:kern w:val="0"/>
                <w:sz w:val="18"/>
                <w:szCs w:val="18"/>
                <w:highlight w:val="none"/>
              </w:rPr>
            </w:pPr>
            <w:r>
              <w:rPr>
                <w:rFonts w:hint="eastAsia" w:cs="宋体" w:asciiTheme="minorHAnsi" w:hAnsiTheme="minorHAnsi" w:eastAsiaTheme="minorHAnsi"/>
                <w:bCs/>
                <w:color w:val="auto"/>
                <w:kern w:val="0"/>
                <w:sz w:val="18"/>
                <w:szCs w:val="18"/>
                <w:highlight w:val="none"/>
              </w:rPr>
              <w:t>2</w:t>
            </w: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kern w:val="0"/>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120005</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▲劳动技术</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1388" w:type="dxa"/>
            <w:gridSpan w:val="3"/>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r>
              <w:rPr>
                <w:rFonts w:hint="eastAsia" w:cs="宋体" w:asciiTheme="minorHAnsi" w:hAnsiTheme="minorHAnsi" w:eastAsiaTheme="minorHAnsi"/>
                <w:color w:val="auto"/>
                <w:sz w:val="18"/>
                <w:szCs w:val="18"/>
                <w:highlight w:val="none"/>
                <w:lang w:val="en-US" w:eastAsia="zh-CN"/>
              </w:rPr>
              <w:t>4</w:t>
            </w:r>
            <w:r>
              <w:rPr>
                <w:rFonts w:hint="eastAsia" w:cs="宋体" w:asciiTheme="minorHAnsi" w:hAnsiTheme="minorHAnsi" w:eastAsiaTheme="minorHAnsi"/>
                <w:color w:val="auto"/>
                <w:sz w:val="18"/>
                <w:szCs w:val="18"/>
                <w:highlight w:val="none"/>
              </w:rPr>
              <w:t>(</w:t>
            </w:r>
            <w:r>
              <w:rPr>
                <w:rFonts w:hint="eastAsia" w:asciiTheme="minorHAnsi" w:hAnsiTheme="minorHAnsi" w:eastAsiaTheme="minorHAnsi" w:cstheme="minorBidi"/>
                <w:bCs/>
                <w:color w:val="auto"/>
                <w:kern w:val="0"/>
                <w:sz w:val="18"/>
                <w:szCs w:val="18"/>
                <w:highlight w:val="none"/>
              </w:rPr>
              <w:t>不计入总学时</w:t>
            </w:r>
            <w:r>
              <w:rPr>
                <w:rFonts w:hint="eastAsia" w:cs="宋体" w:asciiTheme="minorHAnsi" w:hAnsiTheme="minorHAnsi" w:eastAsiaTheme="minorHAnsi"/>
                <w:color w:val="auto"/>
                <w:sz w:val="18"/>
                <w:szCs w:val="18"/>
                <w:highlight w:val="none"/>
              </w:rPr>
              <w:t>)</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24/</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120002</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ascii="MS Gothic" w:hAnsi="MS Gothic" w:eastAsia="MS Gothic" w:cs="MS Gothic"/>
                <w:color w:val="auto"/>
                <w:sz w:val="18"/>
                <w:szCs w:val="18"/>
                <w:highlight w:val="none"/>
              </w:rPr>
              <w:t>◈</w:t>
            </w:r>
            <w:r>
              <w:rPr>
                <w:rFonts w:hint="eastAsia" w:cs="宋体" w:asciiTheme="minorHAnsi" w:hAnsiTheme="minorHAnsi" w:eastAsiaTheme="minorHAnsi"/>
                <w:color w:val="auto"/>
                <w:sz w:val="18"/>
                <w:szCs w:val="18"/>
                <w:highlight w:val="none"/>
              </w:rPr>
              <w:t>创新创业基础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32</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080011</w:t>
            </w:r>
          </w:p>
        </w:tc>
        <w:tc>
          <w:tcPr>
            <w:tcW w:w="1731" w:type="dxa"/>
            <w:vAlign w:val="center"/>
          </w:tcPr>
          <w:p>
            <w:pPr>
              <w:widowControl/>
              <w:spacing w:line="240" w:lineRule="auto"/>
              <w:ind w:firstLine="0" w:firstLineChars="0"/>
              <w:jc w:val="left"/>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大学语文</w:t>
            </w:r>
          </w:p>
        </w:tc>
        <w:tc>
          <w:tcPr>
            <w:tcW w:w="521" w:type="dxa"/>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lang w:eastAsia="zh-CN"/>
              </w:rPr>
            </w:pPr>
            <w:r>
              <w:rPr>
                <w:rFonts w:hint="eastAsia" w:cs="宋体" w:asciiTheme="minorHAnsi" w:hAnsiTheme="minorHAnsi" w:eastAsiaTheme="minorHAnsi"/>
                <w:color w:val="auto"/>
                <w:sz w:val="18"/>
                <w:szCs w:val="18"/>
                <w:highlight w:val="none"/>
                <w:lang w:val="en-US" w:eastAsia="zh-CN"/>
              </w:rPr>
              <w:t>2</w:t>
            </w:r>
          </w:p>
        </w:tc>
        <w:tc>
          <w:tcPr>
            <w:tcW w:w="458" w:type="dxa"/>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32</w:t>
            </w:r>
          </w:p>
        </w:tc>
        <w:tc>
          <w:tcPr>
            <w:tcW w:w="474" w:type="dxa"/>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rPr>
            </w:pPr>
            <w:r>
              <w:rPr>
                <w:rFonts w:hint="eastAsia" w:cs="宋体" w:asciiTheme="minorHAnsi" w:hAnsiTheme="minorHAnsi" w:eastAsiaTheme="minorHAnsi"/>
                <w:color w:val="auto"/>
                <w:sz w:val="18"/>
                <w:szCs w:val="18"/>
                <w:highlight w:val="none"/>
                <w:lang w:val="en-US" w:eastAsia="zh-CN"/>
              </w:rPr>
              <w:t>32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120001</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ascii="MS Gothic" w:hAnsi="MS Gothic" w:eastAsia="MS Gothic" w:cs="MS Gothic"/>
                <w:color w:val="auto"/>
                <w:sz w:val="18"/>
                <w:szCs w:val="18"/>
                <w:highlight w:val="none"/>
              </w:rPr>
              <w:t>◈</w:t>
            </w:r>
            <w:r>
              <w:rPr>
                <w:rFonts w:hint="eastAsia" w:cs="宋体" w:asciiTheme="minorHAnsi" w:hAnsiTheme="minorHAnsi" w:eastAsiaTheme="minorHAnsi"/>
                <w:color w:val="auto"/>
                <w:sz w:val="18"/>
                <w:szCs w:val="18"/>
                <w:highlight w:val="none"/>
              </w:rPr>
              <w:t>职业发展与就业指导</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32</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32/</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120006</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▲社会实践</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w:t>
            </w:r>
          </w:p>
        </w:tc>
        <w:tc>
          <w:tcPr>
            <w:tcW w:w="1388" w:type="dxa"/>
            <w:gridSpan w:val="3"/>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asciiTheme="minorHAnsi" w:hAnsiTheme="minorHAnsi" w:eastAsiaTheme="minorHAnsi" w:cstheme="minorBidi"/>
                <w:bCs/>
                <w:color w:val="auto"/>
                <w:kern w:val="0"/>
                <w:sz w:val="18"/>
                <w:szCs w:val="18"/>
                <w:highlight w:val="none"/>
              </w:rPr>
              <w:t>（不计入总学时）</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p>
        </w:tc>
        <w:tc>
          <w:tcPr>
            <w:tcW w:w="495" w:type="dxa"/>
            <w:vAlign w:val="center"/>
          </w:tcPr>
          <w:p>
            <w:pPr>
              <w:widowControl/>
              <w:spacing w:line="240" w:lineRule="auto"/>
              <w:ind w:firstLine="36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2558" w:type="dxa"/>
            <w:gridSpan w:val="2"/>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小计</w:t>
            </w:r>
          </w:p>
        </w:tc>
        <w:tc>
          <w:tcPr>
            <w:tcW w:w="521"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eastAsia="zh-CN"/>
              </w:rPr>
            </w:pPr>
            <w:r>
              <w:rPr>
                <w:rFonts w:hint="eastAsia" w:asciiTheme="minorHAnsi" w:hAnsiTheme="minorHAnsi" w:eastAsiaTheme="minorHAnsi"/>
                <w:b/>
                <w:bCs w:val="0"/>
                <w:color w:val="auto"/>
                <w:sz w:val="18"/>
                <w:szCs w:val="18"/>
                <w:highlight w:val="none"/>
              </w:rPr>
              <w:t>4</w:t>
            </w:r>
            <w:r>
              <w:rPr>
                <w:rFonts w:hint="eastAsia" w:asciiTheme="minorHAnsi" w:hAnsiTheme="minorHAnsi" w:eastAsiaTheme="minorHAnsi"/>
                <w:b/>
                <w:bCs w:val="0"/>
                <w:color w:val="auto"/>
                <w:sz w:val="18"/>
                <w:szCs w:val="18"/>
                <w:highlight w:val="none"/>
                <w:lang w:val="en-US" w:eastAsia="zh-CN"/>
              </w:rPr>
              <w:t>2.5</w:t>
            </w:r>
          </w:p>
        </w:tc>
        <w:tc>
          <w:tcPr>
            <w:tcW w:w="458"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eastAsia="zh-CN"/>
              </w:rPr>
            </w:pPr>
            <w:r>
              <w:rPr>
                <w:rFonts w:hint="eastAsia" w:asciiTheme="minorHAnsi" w:hAnsiTheme="minorHAnsi" w:eastAsiaTheme="minorHAnsi"/>
                <w:b/>
                <w:bCs w:val="0"/>
                <w:color w:val="auto"/>
                <w:sz w:val="18"/>
                <w:szCs w:val="18"/>
                <w:highlight w:val="none"/>
              </w:rPr>
              <w:t>6</w:t>
            </w:r>
            <w:r>
              <w:rPr>
                <w:rFonts w:hint="eastAsia" w:asciiTheme="minorHAnsi" w:hAnsiTheme="minorHAnsi" w:eastAsiaTheme="minorHAnsi"/>
                <w:b/>
                <w:bCs w:val="0"/>
                <w:color w:val="auto"/>
                <w:sz w:val="18"/>
                <w:szCs w:val="18"/>
                <w:highlight w:val="none"/>
                <w:lang w:val="en-US" w:eastAsia="zh-CN"/>
              </w:rPr>
              <w:t>40</w:t>
            </w:r>
          </w:p>
        </w:tc>
        <w:tc>
          <w:tcPr>
            <w:tcW w:w="474"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lang w:val="en-US" w:eastAsia="zh-CN"/>
              </w:rPr>
            </w:pPr>
            <w:r>
              <w:rPr>
                <w:rFonts w:asciiTheme="minorHAnsi" w:hAnsiTheme="minorHAnsi" w:eastAsiaTheme="minorHAnsi"/>
                <w:b/>
                <w:bCs w:val="0"/>
                <w:color w:val="auto"/>
                <w:sz w:val="18"/>
                <w:szCs w:val="18"/>
                <w:highlight w:val="none"/>
              </w:rPr>
              <w:fldChar w:fldCharType="begin"/>
            </w:r>
            <w:r>
              <w:rPr>
                <w:rFonts w:asciiTheme="minorHAnsi" w:hAnsiTheme="minorHAnsi" w:eastAsiaTheme="minorHAnsi"/>
                <w:b/>
                <w:bCs w:val="0"/>
                <w:color w:val="auto"/>
                <w:sz w:val="18"/>
                <w:szCs w:val="18"/>
                <w:highlight w:val="none"/>
              </w:rPr>
              <w:instrText xml:space="preserve"> = sum(F5:F18) \* MERGEFORMAT </w:instrText>
            </w:r>
            <w:r>
              <w:rPr>
                <w:rFonts w:asciiTheme="minorHAnsi" w:hAnsiTheme="minorHAnsi" w:eastAsiaTheme="minorHAnsi"/>
                <w:b/>
                <w:bCs w:val="0"/>
                <w:color w:val="auto"/>
                <w:sz w:val="18"/>
                <w:szCs w:val="18"/>
                <w:highlight w:val="none"/>
              </w:rPr>
              <w:fldChar w:fldCharType="separate"/>
            </w:r>
            <w:r>
              <w:rPr>
                <w:rFonts w:asciiTheme="minorHAnsi" w:hAnsiTheme="minorHAnsi" w:eastAsiaTheme="minorHAnsi"/>
                <w:b/>
                <w:bCs w:val="0"/>
                <w:color w:val="auto"/>
                <w:sz w:val="18"/>
                <w:szCs w:val="18"/>
                <w:highlight w:val="none"/>
              </w:rPr>
              <w:t>4</w:t>
            </w:r>
            <w:r>
              <w:rPr>
                <w:rFonts w:hint="eastAsia" w:asciiTheme="minorHAnsi" w:hAnsiTheme="minorHAnsi" w:eastAsiaTheme="minorHAnsi"/>
                <w:b/>
                <w:bCs w:val="0"/>
                <w:color w:val="auto"/>
                <w:sz w:val="18"/>
                <w:szCs w:val="18"/>
                <w:highlight w:val="none"/>
                <w:lang w:val="en-US" w:eastAsia="zh-CN"/>
              </w:rPr>
              <w:t>5</w:t>
            </w:r>
            <w:r>
              <w:rPr>
                <w:rFonts w:asciiTheme="minorHAnsi" w:hAnsiTheme="minorHAnsi" w:eastAsiaTheme="minorHAnsi"/>
                <w:b/>
                <w:bCs w:val="0"/>
                <w:color w:val="auto"/>
                <w:sz w:val="18"/>
                <w:szCs w:val="18"/>
                <w:highlight w:val="none"/>
              </w:rPr>
              <w:fldChar w:fldCharType="end"/>
            </w:r>
            <w:r>
              <w:rPr>
                <w:rFonts w:hint="eastAsia" w:asciiTheme="minorHAnsi" w:hAnsiTheme="minorHAnsi" w:eastAsiaTheme="minorHAnsi"/>
                <w:b/>
                <w:bCs w:val="0"/>
                <w:color w:val="auto"/>
                <w:sz w:val="18"/>
                <w:szCs w:val="18"/>
                <w:highlight w:val="none"/>
                <w:lang w:val="en-US" w:eastAsia="zh-CN"/>
              </w:rPr>
              <w:t>4</w:t>
            </w:r>
          </w:p>
        </w:tc>
        <w:tc>
          <w:tcPr>
            <w:tcW w:w="456"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186</w:t>
            </w:r>
          </w:p>
        </w:tc>
        <w:tc>
          <w:tcPr>
            <w:tcW w:w="422" w:type="dxa"/>
          </w:tcPr>
          <w:p>
            <w:pPr>
              <w:widowControl/>
              <w:spacing w:line="240" w:lineRule="auto"/>
              <w:ind w:firstLine="0" w:firstLineChars="0"/>
              <w:jc w:val="center"/>
              <w:textAlignment w:val="center"/>
              <w:rPr>
                <w:rFonts w:asciiTheme="minorHAnsi" w:hAnsiTheme="minorHAnsi" w:eastAsiaTheme="minorHAnsi"/>
                <w:b/>
                <w:bCs w:val="0"/>
                <w:color w:val="auto"/>
                <w:kern w:val="0"/>
                <w:sz w:val="18"/>
                <w:szCs w:val="18"/>
                <w:highlight w:val="none"/>
              </w:rPr>
            </w:pPr>
          </w:p>
        </w:tc>
        <w:tc>
          <w:tcPr>
            <w:tcW w:w="684"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kern w:val="0"/>
                <w:sz w:val="18"/>
                <w:szCs w:val="18"/>
                <w:highlight w:val="none"/>
                <w:lang w:eastAsia="zh-CN"/>
              </w:rPr>
            </w:pPr>
            <w:r>
              <w:rPr>
                <w:rFonts w:hint="eastAsia" w:asciiTheme="minorHAnsi" w:hAnsiTheme="minorHAnsi" w:eastAsiaTheme="minorHAnsi"/>
                <w:b/>
                <w:bCs w:val="0"/>
                <w:color w:val="auto"/>
                <w:kern w:val="0"/>
                <w:sz w:val="18"/>
                <w:szCs w:val="18"/>
                <w:highlight w:val="none"/>
              </w:rPr>
              <w:t>1</w:t>
            </w:r>
            <w:r>
              <w:rPr>
                <w:rFonts w:hint="eastAsia" w:asciiTheme="minorHAnsi" w:hAnsiTheme="minorHAnsi" w:eastAsiaTheme="minorHAnsi"/>
                <w:b/>
                <w:bCs w:val="0"/>
                <w:color w:val="auto"/>
                <w:kern w:val="0"/>
                <w:sz w:val="18"/>
                <w:szCs w:val="18"/>
                <w:highlight w:val="none"/>
                <w:lang w:val="en-US" w:eastAsia="zh-CN"/>
              </w:rPr>
              <w:t>6</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kern w:val="0"/>
                <w:sz w:val="18"/>
                <w:szCs w:val="18"/>
                <w:highlight w:val="none"/>
                <w:lang w:eastAsia="zh-CN"/>
              </w:rPr>
            </w:pPr>
            <w:r>
              <w:rPr>
                <w:rFonts w:hint="eastAsia" w:asciiTheme="minorHAnsi" w:hAnsiTheme="minorHAnsi" w:eastAsiaTheme="minorHAnsi"/>
                <w:b/>
                <w:bCs w:val="0"/>
                <w:color w:val="auto"/>
                <w:kern w:val="0"/>
                <w:sz w:val="18"/>
                <w:szCs w:val="18"/>
                <w:highlight w:val="none"/>
              </w:rPr>
              <w:t>1</w:t>
            </w:r>
            <w:r>
              <w:rPr>
                <w:rFonts w:hint="eastAsia" w:asciiTheme="minorHAnsi" w:hAnsiTheme="minorHAnsi" w:eastAsiaTheme="minorHAnsi"/>
                <w:b/>
                <w:bCs w:val="0"/>
                <w:color w:val="auto"/>
                <w:kern w:val="0"/>
                <w:sz w:val="18"/>
                <w:szCs w:val="18"/>
                <w:highlight w:val="none"/>
                <w:lang w:val="en-US" w:eastAsia="zh-CN"/>
              </w:rPr>
              <w:t>2</w:t>
            </w:r>
          </w:p>
        </w:tc>
        <w:tc>
          <w:tcPr>
            <w:tcW w:w="571" w:type="dxa"/>
            <w:vAlign w:val="center"/>
          </w:tcPr>
          <w:p>
            <w:pPr>
              <w:widowControl/>
              <w:spacing w:line="240" w:lineRule="auto"/>
              <w:ind w:firstLine="0" w:firstLineChars="0"/>
              <w:jc w:val="center"/>
              <w:textAlignment w:val="center"/>
              <w:rPr>
                <w:rFonts w:asciiTheme="minorHAnsi" w:hAnsiTheme="minorHAnsi" w:eastAsiaTheme="minorHAnsi"/>
                <w:b/>
                <w:bCs w:val="0"/>
                <w:color w:val="auto"/>
                <w:kern w:val="0"/>
                <w:sz w:val="18"/>
                <w:szCs w:val="18"/>
                <w:highlight w:val="none"/>
              </w:rPr>
            </w:pPr>
            <w:r>
              <w:rPr>
                <w:rFonts w:hint="eastAsia" w:asciiTheme="minorHAnsi" w:hAnsiTheme="minorHAnsi" w:eastAsiaTheme="minorHAnsi"/>
                <w:b/>
                <w:bCs w:val="0"/>
                <w:color w:val="auto"/>
                <w:kern w:val="0"/>
                <w:sz w:val="18"/>
                <w:szCs w:val="18"/>
                <w:highlight w:val="none"/>
              </w:rPr>
              <w:t>4</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kern w:val="0"/>
                <w:sz w:val="18"/>
                <w:szCs w:val="18"/>
                <w:highlight w:val="none"/>
                <w:lang w:eastAsia="zh-CN"/>
              </w:rPr>
            </w:pPr>
            <w:r>
              <w:rPr>
                <w:rFonts w:hint="eastAsia" w:asciiTheme="minorHAnsi" w:hAnsiTheme="minorHAnsi" w:eastAsiaTheme="minorHAnsi"/>
                <w:b/>
                <w:bCs w:val="0"/>
                <w:color w:val="auto"/>
                <w:kern w:val="0"/>
                <w:sz w:val="18"/>
                <w:szCs w:val="18"/>
                <w:highlight w:val="none"/>
                <w:lang w:val="en-US" w:eastAsia="zh-CN"/>
              </w:rPr>
              <w:t>2</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495"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restart"/>
            <w:vAlign w:val="center"/>
          </w:tcPr>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专</w:t>
            </w:r>
          </w:p>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业</w:t>
            </w:r>
          </w:p>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基</w:t>
            </w:r>
          </w:p>
          <w:p>
            <w:pPr>
              <w:widowControl/>
              <w:spacing w:line="240" w:lineRule="auto"/>
              <w:ind w:firstLine="0" w:firstLineChars="0"/>
              <w:jc w:val="center"/>
              <w:textAlignment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
                <w:color w:val="auto"/>
                <w:kern w:val="0"/>
                <w:sz w:val="18"/>
                <w:szCs w:val="18"/>
                <w:highlight w:val="none"/>
              </w:rPr>
              <w:t>础</w:t>
            </w:r>
          </w:p>
          <w:p>
            <w:pPr>
              <w:widowControl/>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课</w:t>
            </w:r>
          </w:p>
        </w:tc>
        <w:tc>
          <w:tcPr>
            <w:tcW w:w="827"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130101</w:t>
            </w:r>
          </w:p>
        </w:tc>
        <w:tc>
          <w:tcPr>
            <w:tcW w:w="1731"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专业导论</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16</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16/</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130102</w:t>
            </w:r>
          </w:p>
        </w:tc>
        <w:tc>
          <w:tcPr>
            <w:tcW w:w="1731" w:type="dxa"/>
            <w:vAlign w:val="center"/>
          </w:tcPr>
          <w:p>
            <w:pPr>
              <w:widowControl/>
              <w:tabs>
                <w:tab w:val="left" w:pos="1867"/>
              </w:tabs>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PS图像处理</w:t>
            </w:r>
            <w:r>
              <w:rPr>
                <w:rFonts w:hint="eastAsia" w:cs="宋体" w:asciiTheme="minorHAnsi" w:hAnsiTheme="minorHAnsi" w:eastAsiaTheme="minorHAnsi"/>
                <w:color w:val="auto"/>
                <w:sz w:val="18"/>
                <w:szCs w:val="18"/>
                <w:highlight w:val="none"/>
              </w:rPr>
              <w:tab/>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50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5</w:t>
            </w: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130103</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▲互联网生存技能</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30</w:t>
            </w:r>
          </w:p>
        </w:tc>
        <w:tc>
          <w:tcPr>
            <w:tcW w:w="474" w:type="dxa"/>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lang w:eastAsia="zh-CN"/>
              </w:rPr>
            </w:pPr>
            <w:r>
              <w:rPr>
                <w:rFonts w:hint="eastAsia" w:cs="宋体" w:asciiTheme="minorHAnsi" w:hAnsiTheme="minorHAnsi" w:eastAsiaTheme="minorHAnsi"/>
                <w:color w:val="auto"/>
                <w:sz w:val="18"/>
                <w:szCs w:val="18"/>
                <w:highlight w:val="none"/>
                <w:lang w:val="en-US" w:eastAsia="zh-CN"/>
              </w:rPr>
              <w:t>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3</w:t>
            </w:r>
            <w:r>
              <w:rPr>
                <w:rFonts w:hint="eastAsia"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3</w:t>
            </w:r>
            <w:r>
              <w:rPr>
                <w:rFonts w:hint="eastAsia" w:cs="宋体" w:asciiTheme="minorHAnsi" w:hAnsiTheme="minorHAnsi" w:eastAsiaTheme="minorHAnsi"/>
                <w:color w:val="auto"/>
                <w:sz w:val="18"/>
                <w:szCs w:val="18"/>
                <w:highlight w:val="none"/>
              </w:rPr>
              <w:t>0/</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130104</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商务办公软件高级应用</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36</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18</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18</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130105</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pacing w:val="-20"/>
                <w:sz w:val="18"/>
                <w:szCs w:val="18"/>
                <w:highlight w:val="none"/>
              </w:rPr>
            </w:pPr>
            <w:r>
              <w:rPr>
                <w:rFonts w:hint="eastAsia" w:cs="宋体" w:asciiTheme="minorHAnsi" w:hAnsiTheme="minorHAnsi" w:eastAsiaTheme="minorHAnsi"/>
                <w:color w:val="auto"/>
                <w:sz w:val="18"/>
                <w:szCs w:val="18"/>
                <w:highlight w:val="none"/>
              </w:rPr>
              <w:t>■数字化营销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hint="eastAsia" w:cs="宋体" w:asciiTheme="minorHAnsi" w:hAnsiTheme="minorHAnsi" w:eastAsiaTheme="minorHAnsi"/>
                <w:bCs/>
                <w:color w:val="auto"/>
                <w:sz w:val="18"/>
                <w:szCs w:val="18"/>
                <w:highlight w:val="none"/>
                <w:lang w:eastAsia="zh-CN"/>
              </w:rPr>
            </w:pPr>
            <w:r>
              <w:rPr>
                <w:rFonts w:hint="eastAsia" w:cs="宋体" w:asciiTheme="minorHAnsi" w:hAnsiTheme="minorHAnsi" w:eastAsiaTheme="minorHAnsi"/>
                <w:color w:val="auto"/>
                <w:sz w:val="18"/>
                <w:szCs w:val="18"/>
                <w:highlight w:val="none"/>
                <w:lang w:val="en-US" w:eastAsia="zh-CN"/>
              </w:rPr>
              <w:t>2</w:t>
            </w: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130106</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网络编程</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2558" w:type="dxa"/>
            <w:gridSpan w:val="2"/>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小计</w:t>
            </w:r>
          </w:p>
        </w:tc>
        <w:tc>
          <w:tcPr>
            <w:tcW w:w="521" w:type="dxa"/>
            <w:vAlign w:val="center"/>
          </w:tcPr>
          <w:p>
            <w:pPr>
              <w:widowControl/>
              <w:spacing w:line="240" w:lineRule="auto"/>
              <w:ind w:firstLine="0" w:firstLineChars="0"/>
              <w:jc w:val="center"/>
              <w:rPr>
                <w:rFonts w:cs="宋体" w:asciiTheme="minorHAnsi" w:hAnsiTheme="minorHAnsi" w:eastAsiaTheme="minorHAnsi"/>
                <w:b/>
                <w:bCs w:val="0"/>
                <w:color w:val="auto"/>
                <w:sz w:val="18"/>
                <w:szCs w:val="18"/>
                <w:highlight w:val="none"/>
              </w:rPr>
            </w:pPr>
            <w:r>
              <w:rPr>
                <w:rFonts w:hint="eastAsia" w:cs="宋体" w:asciiTheme="minorHAnsi" w:hAnsiTheme="minorHAnsi" w:eastAsiaTheme="minorHAnsi"/>
                <w:b/>
                <w:bCs w:val="0"/>
                <w:color w:val="auto"/>
                <w:sz w:val="18"/>
                <w:szCs w:val="18"/>
                <w:highlight w:val="none"/>
              </w:rPr>
              <w:t>11</w:t>
            </w:r>
          </w:p>
        </w:tc>
        <w:tc>
          <w:tcPr>
            <w:tcW w:w="458" w:type="dxa"/>
            <w:vAlign w:val="center"/>
          </w:tcPr>
          <w:p>
            <w:pPr>
              <w:widowControl/>
              <w:spacing w:line="240" w:lineRule="auto"/>
              <w:ind w:firstLine="0" w:firstLineChars="0"/>
              <w:jc w:val="center"/>
              <w:rPr>
                <w:rFonts w:cs="宋体" w:asciiTheme="minorHAnsi" w:hAnsiTheme="minorHAnsi" w:eastAsiaTheme="minorHAnsi"/>
                <w:b/>
                <w:bCs w:val="0"/>
                <w:color w:val="auto"/>
                <w:sz w:val="18"/>
                <w:szCs w:val="18"/>
                <w:highlight w:val="none"/>
              </w:rPr>
            </w:pPr>
            <w:r>
              <w:rPr>
                <w:rFonts w:hint="eastAsia" w:cs="宋体" w:asciiTheme="minorHAnsi" w:hAnsiTheme="minorHAnsi" w:eastAsiaTheme="minorHAnsi"/>
                <w:b/>
                <w:bCs w:val="0"/>
                <w:color w:val="auto"/>
                <w:sz w:val="18"/>
                <w:szCs w:val="18"/>
                <w:highlight w:val="none"/>
              </w:rPr>
              <w:t>2</w:t>
            </w:r>
            <w:r>
              <w:rPr>
                <w:rFonts w:hint="eastAsia" w:cs="宋体" w:asciiTheme="minorHAnsi" w:hAnsiTheme="minorHAnsi" w:eastAsiaTheme="minorHAnsi"/>
                <w:b/>
                <w:bCs w:val="0"/>
                <w:color w:val="auto"/>
                <w:sz w:val="18"/>
                <w:szCs w:val="18"/>
                <w:highlight w:val="none"/>
                <w:lang w:val="en-US" w:eastAsia="zh-CN"/>
              </w:rPr>
              <w:t>0</w:t>
            </w:r>
            <w:r>
              <w:rPr>
                <w:rFonts w:hint="eastAsia" w:cs="宋体" w:asciiTheme="minorHAnsi" w:hAnsiTheme="minorHAnsi" w:eastAsiaTheme="minorHAnsi"/>
                <w:b/>
                <w:bCs w:val="0"/>
                <w:color w:val="auto"/>
                <w:sz w:val="18"/>
                <w:szCs w:val="18"/>
                <w:highlight w:val="none"/>
              </w:rPr>
              <w:t>2</w:t>
            </w:r>
          </w:p>
        </w:tc>
        <w:tc>
          <w:tcPr>
            <w:tcW w:w="474" w:type="dxa"/>
            <w:vAlign w:val="center"/>
          </w:tcPr>
          <w:p>
            <w:pPr>
              <w:widowControl/>
              <w:spacing w:line="240" w:lineRule="auto"/>
              <w:ind w:firstLine="0" w:firstLineChars="0"/>
              <w:jc w:val="center"/>
              <w:rPr>
                <w:rFonts w:hint="default" w:cs="宋体" w:asciiTheme="minorHAnsi" w:hAnsiTheme="minorHAnsi" w:eastAsiaTheme="minorHAnsi"/>
                <w:b/>
                <w:bCs w:val="0"/>
                <w:color w:val="auto"/>
                <w:sz w:val="18"/>
                <w:szCs w:val="18"/>
                <w:highlight w:val="none"/>
                <w:lang w:val="en-US" w:eastAsia="zh-CN"/>
              </w:rPr>
            </w:pPr>
            <w:r>
              <w:rPr>
                <w:rFonts w:hint="eastAsia" w:cs="宋体" w:asciiTheme="minorHAnsi" w:hAnsiTheme="minorHAnsi" w:eastAsiaTheme="minorHAnsi"/>
                <w:b/>
                <w:bCs w:val="0"/>
                <w:color w:val="auto"/>
                <w:sz w:val="18"/>
                <w:szCs w:val="18"/>
                <w:highlight w:val="none"/>
                <w:lang w:val="en-US" w:eastAsia="zh-CN"/>
              </w:rPr>
              <w:t>81</w:t>
            </w:r>
          </w:p>
        </w:tc>
        <w:tc>
          <w:tcPr>
            <w:tcW w:w="456" w:type="dxa"/>
            <w:vAlign w:val="center"/>
          </w:tcPr>
          <w:p>
            <w:pPr>
              <w:widowControl/>
              <w:spacing w:line="240" w:lineRule="auto"/>
              <w:ind w:firstLine="0" w:firstLineChars="0"/>
              <w:jc w:val="center"/>
              <w:rPr>
                <w:rFonts w:cs="宋体" w:asciiTheme="minorHAnsi" w:hAnsiTheme="minorHAnsi" w:eastAsiaTheme="minorHAnsi"/>
                <w:b/>
                <w:bCs w:val="0"/>
                <w:color w:val="auto"/>
                <w:sz w:val="18"/>
                <w:szCs w:val="18"/>
                <w:highlight w:val="none"/>
              </w:rPr>
            </w:pPr>
            <w:r>
              <w:rPr>
                <w:rFonts w:hint="eastAsia" w:cs="宋体" w:asciiTheme="minorHAnsi" w:hAnsiTheme="minorHAnsi" w:eastAsiaTheme="minorHAnsi"/>
                <w:b/>
                <w:bCs w:val="0"/>
                <w:color w:val="auto"/>
                <w:sz w:val="18"/>
                <w:szCs w:val="18"/>
                <w:highlight w:val="none"/>
              </w:rPr>
              <w:t>1</w:t>
            </w:r>
            <w:r>
              <w:rPr>
                <w:rFonts w:hint="eastAsia" w:cs="宋体" w:asciiTheme="minorHAnsi" w:hAnsiTheme="minorHAnsi" w:eastAsiaTheme="minorHAnsi"/>
                <w:b/>
                <w:bCs w:val="0"/>
                <w:color w:val="auto"/>
                <w:sz w:val="18"/>
                <w:szCs w:val="18"/>
                <w:highlight w:val="none"/>
                <w:lang w:val="en-US" w:eastAsia="zh-CN"/>
              </w:rPr>
              <w:t>2</w:t>
            </w:r>
            <w:r>
              <w:rPr>
                <w:rFonts w:hint="eastAsia" w:cs="宋体" w:asciiTheme="minorHAnsi" w:hAnsiTheme="minorHAnsi" w:eastAsiaTheme="minorHAnsi"/>
                <w:b/>
                <w:bCs w:val="0"/>
                <w:color w:val="auto"/>
                <w:sz w:val="18"/>
                <w:szCs w:val="18"/>
                <w:highlight w:val="none"/>
              </w:rPr>
              <w:t>1</w:t>
            </w:r>
          </w:p>
        </w:tc>
        <w:tc>
          <w:tcPr>
            <w:tcW w:w="422" w:type="dxa"/>
          </w:tcPr>
          <w:p>
            <w:pPr>
              <w:spacing w:line="240" w:lineRule="auto"/>
              <w:ind w:firstLine="0" w:firstLineChars="0"/>
              <w:jc w:val="center"/>
              <w:rPr>
                <w:rFonts w:asciiTheme="minorHAnsi" w:hAnsiTheme="minorHAnsi" w:eastAsiaTheme="minorHAnsi"/>
                <w:b/>
                <w:bCs w:val="0"/>
                <w:color w:val="auto"/>
                <w:sz w:val="18"/>
                <w:szCs w:val="18"/>
                <w:highlight w:val="none"/>
              </w:rPr>
            </w:pPr>
          </w:p>
        </w:tc>
        <w:tc>
          <w:tcPr>
            <w:tcW w:w="684"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5</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8</w:t>
            </w:r>
          </w:p>
        </w:tc>
        <w:tc>
          <w:tcPr>
            <w:tcW w:w="571" w:type="dxa"/>
            <w:vAlign w:val="center"/>
          </w:tcPr>
          <w:p>
            <w:pPr>
              <w:spacing w:line="240" w:lineRule="auto"/>
              <w:ind w:firstLine="0" w:firstLineChars="0"/>
              <w:jc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2</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495"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restart"/>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专</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业</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核</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心</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课</w:t>
            </w: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w:t>
            </w:r>
            <w:r>
              <w:rPr>
                <w:rFonts w:hint="eastAsia" w:cs="宋体" w:asciiTheme="minorHAnsi" w:hAnsiTheme="minorHAnsi" w:eastAsiaTheme="minorHAnsi"/>
                <w:bCs/>
                <w:color w:val="auto"/>
                <w:sz w:val="18"/>
                <w:szCs w:val="18"/>
                <w:highlight w:val="none"/>
              </w:rPr>
              <w:t>07</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■电商运营基础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60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21</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w:t>
            </w:r>
            <w:r>
              <w:rPr>
                <w:rFonts w:hint="eastAsia" w:cs="宋体" w:asciiTheme="minorHAnsi" w:hAnsiTheme="minorHAnsi" w:eastAsiaTheme="minorHAnsi"/>
                <w:bCs/>
                <w:color w:val="auto"/>
                <w:sz w:val="18"/>
                <w:szCs w:val="18"/>
                <w:highlight w:val="none"/>
              </w:rPr>
              <w:t>08</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▲网店美工实训/项目实战训练</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30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w:t>
            </w:r>
            <w:r>
              <w:rPr>
                <w:rFonts w:hint="eastAsia" w:cs="宋体" w:asciiTheme="minorHAnsi" w:hAnsiTheme="minorHAnsi" w:eastAsiaTheme="minorHAnsi"/>
                <w:bCs/>
                <w:color w:val="auto"/>
                <w:sz w:val="18"/>
                <w:szCs w:val="18"/>
                <w:highlight w:val="none"/>
              </w:rPr>
              <w:t>09</w:t>
            </w:r>
          </w:p>
        </w:tc>
        <w:tc>
          <w:tcPr>
            <w:tcW w:w="1731" w:type="dxa"/>
            <w:vAlign w:val="center"/>
          </w:tcPr>
          <w:p>
            <w:pPr>
              <w:widowControl/>
              <w:spacing w:line="240" w:lineRule="auto"/>
              <w:ind w:firstLine="0" w:firstLineChars="0"/>
              <w:jc w:val="left"/>
              <w:rPr>
                <w:rFonts w:hint="eastAsia" w:eastAsia="宋体" w:cs="宋体" w:asciiTheme="minorHAnsi" w:hAnsiTheme="minorHAnsi"/>
                <w:color w:val="auto"/>
                <w:spacing w:val="-20"/>
                <w:sz w:val="18"/>
                <w:szCs w:val="18"/>
                <w:highlight w:val="none"/>
                <w:lang w:eastAsia="zh-CN"/>
              </w:rPr>
            </w:pPr>
            <w:r>
              <w:rPr>
                <w:rFonts w:hint="eastAsia" w:cs="宋体" w:asciiTheme="minorHAnsi" w:hAnsiTheme="minorHAnsi"/>
                <w:color w:val="auto"/>
                <w:sz w:val="18"/>
                <w:szCs w:val="18"/>
                <w:highlight w:val="none"/>
                <w:lang w:eastAsia="zh-CN"/>
              </w:rPr>
              <w:t>数据化运营</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30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w:t>
            </w:r>
            <w:r>
              <w:rPr>
                <w:rFonts w:hint="eastAsia" w:cs="宋体" w:asciiTheme="minorHAnsi" w:hAnsiTheme="minorHAnsi" w:eastAsiaTheme="minorHAnsi"/>
                <w:bCs/>
                <w:color w:val="auto"/>
                <w:sz w:val="18"/>
                <w:szCs w:val="18"/>
                <w:highlight w:val="none"/>
              </w:rPr>
              <w:t>10</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b/>
                <w:bCs/>
                <w:color w:val="auto"/>
                <w:sz w:val="18"/>
                <w:szCs w:val="18"/>
                <w:highlight w:val="none"/>
              </w:rPr>
              <w:t>■</w:t>
            </w:r>
            <w:r>
              <w:rPr>
                <w:rFonts w:hint="eastAsia" w:cs="宋体" w:asciiTheme="minorHAnsi" w:hAnsiTheme="minorHAnsi" w:eastAsiaTheme="minorHAnsi"/>
                <w:color w:val="auto"/>
                <w:sz w:val="18"/>
                <w:szCs w:val="18"/>
                <w:highlight w:val="none"/>
              </w:rPr>
              <w:t>移动电子商务</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50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4</w:t>
            </w: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lang w:val="en-US" w:eastAsia="zh-CN"/>
              </w:rPr>
              <w:t>1301</w:t>
            </w:r>
            <w:r>
              <w:rPr>
                <w:rFonts w:hint="eastAsia" w:cs="宋体" w:asciiTheme="minorHAnsi" w:hAnsiTheme="minorHAnsi" w:eastAsiaTheme="minorHAnsi"/>
                <w:bCs/>
                <w:color w:val="auto"/>
                <w:sz w:val="18"/>
                <w:szCs w:val="18"/>
                <w:highlight w:val="none"/>
              </w:rPr>
              <w:t>11</w:t>
            </w:r>
          </w:p>
        </w:tc>
        <w:tc>
          <w:tcPr>
            <w:tcW w:w="1731" w:type="dxa"/>
            <w:vAlign w:val="center"/>
          </w:tcPr>
          <w:p>
            <w:pPr>
              <w:widowControl/>
              <w:spacing w:line="240" w:lineRule="auto"/>
              <w:ind w:firstLine="0" w:firstLineChars="0"/>
              <w:jc w:val="left"/>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kern w:val="0"/>
                <w:sz w:val="18"/>
                <w:szCs w:val="18"/>
                <w:highlight w:val="none"/>
                <w:lang w:eastAsia="zh-CN"/>
              </w:rPr>
              <w:t>电商</w:t>
            </w:r>
            <w:r>
              <w:rPr>
                <w:rFonts w:hint="eastAsia" w:cs="宋体" w:asciiTheme="minorHAnsi" w:hAnsiTheme="minorHAnsi" w:eastAsiaTheme="minorHAnsi"/>
                <w:color w:val="auto"/>
                <w:kern w:val="0"/>
                <w:sz w:val="18"/>
                <w:szCs w:val="18"/>
                <w:highlight w:val="none"/>
              </w:rPr>
              <w:t>内容营销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30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val="en-US" w:eastAsia="zh-CN"/>
              </w:rPr>
              <w:t>s</w:t>
            </w:r>
            <w:r>
              <w:rPr>
                <w:rFonts w:hint="eastAsia" w:cs="宋体" w:asciiTheme="minorHAnsi" w:hAnsiTheme="minorHAnsi" w:eastAsiaTheme="minorHAnsi"/>
                <w:bCs/>
                <w:color w:val="auto"/>
                <w:sz w:val="18"/>
                <w:szCs w:val="18"/>
                <w:highlight w:val="none"/>
              </w:rPr>
              <w:t>x</w:t>
            </w:r>
            <w:r>
              <w:rPr>
                <w:rFonts w:hint="eastAsia" w:cs="宋体" w:asciiTheme="minorHAnsi" w:hAnsiTheme="minorHAnsi" w:eastAsiaTheme="minorHAnsi"/>
                <w:color w:val="auto"/>
                <w:sz w:val="18"/>
                <w:szCs w:val="18"/>
                <w:highlight w:val="none"/>
                <w:lang w:val="en-US" w:eastAsia="zh-CN"/>
              </w:rPr>
              <w:t>1301</w:t>
            </w:r>
            <w:r>
              <w:rPr>
                <w:rFonts w:hint="eastAsia" w:cs="宋体" w:asciiTheme="minorHAnsi" w:hAnsiTheme="minorHAnsi" w:eastAsiaTheme="minorHAnsi"/>
                <w:bCs/>
                <w:color w:val="auto"/>
                <w:sz w:val="18"/>
                <w:szCs w:val="18"/>
                <w:highlight w:val="none"/>
              </w:rPr>
              <w:t>01</w:t>
            </w:r>
          </w:p>
        </w:tc>
        <w:tc>
          <w:tcPr>
            <w:tcW w:w="1731" w:type="dxa"/>
            <w:vAlign w:val="center"/>
          </w:tcPr>
          <w:p>
            <w:pPr>
              <w:widowControl/>
              <w:spacing w:line="240" w:lineRule="auto"/>
              <w:ind w:firstLine="0" w:firstLineChars="0"/>
              <w:jc w:val="left"/>
              <w:textAlignment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▲顶岗实习</w:t>
            </w:r>
          </w:p>
        </w:tc>
        <w:tc>
          <w:tcPr>
            <w:tcW w:w="52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32</w:t>
            </w:r>
          </w:p>
        </w:tc>
        <w:tc>
          <w:tcPr>
            <w:tcW w:w="458"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480</w:t>
            </w:r>
          </w:p>
        </w:tc>
        <w:tc>
          <w:tcPr>
            <w:tcW w:w="474"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cs="宋体" w:asciiTheme="minorHAnsi" w:hAnsiTheme="minorHAnsi" w:eastAsiaTheme="minorHAnsi"/>
                <w:bCs/>
                <w:color w:val="auto"/>
                <w:sz w:val="18"/>
                <w:szCs w:val="18"/>
                <w:highlight w:val="none"/>
              </w:rPr>
              <w:t>0</w:t>
            </w:r>
          </w:p>
        </w:tc>
        <w:tc>
          <w:tcPr>
            <w:tcW w:w="456"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480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240/</w:t>
            </w:r>
            <w:r>
              <w:rPr>
                <w:rFonts w:cs="宋体" w:asciiTheme="minorHAnsi" w:hAnsiTheme="minorHAnsi" w:eastAsiaTheme="minorHAnsi"/>
                <w:bCs/>
                <w:color w:val="auto"/>
                <w:sz w:val="18"/>
                <w:szCs w:val="18"/>
                <w:highlight w:val="none"/>
              </w:rPr>
              <w:t>S</w:t>
            </w: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240/</w:t>
            </w:r>
            <w:r>
              <w:rPr>
                <w:rFonts w:cs="宋体" w:asciiTheme="minorHAnsi" w:hAnsiTheme="minorHAnsi" w:eastAsiaTheme="minorHAnsi"/>
                <w:bCs/>
                <w:color w:val="auto"/>
                <w:sz w:val="18"/>
                <w:szCs w:val="18"/>
                <w:highlight w:val="none"/>
              </w:rPr>
              <w:t>S</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2558" w:type="dxa"/>
            <w:gridSpan w:val="2"/>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小计</w:t>
            </w:r>
          </w:p>
        </w:tc>
        <w:tc>
          <w:tcPr>
            <w:tcW w:w="52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rPr>
              <w:t>4</w:t>
            </w:r>
            <w:r>
              <w:rPr>
                <w:rFonts w:hint="eastAsia" w:asciiTheme="minorHAnsi" w:hAnsiTheme="minorHAnsi" w:eastAsiaTheme="minorHAnsi"/>
                <w:b/>
                <w:bCs w:val="0"/>
                <w:color w:val="auto"/>
                <w:sz w:val="18"/>
                <w:szCs w:val="18"/>
                <w:highlight w:val="none"/>
                <w:lang w:val="en-US" w:eastAsia="zh-CN"/>
              </w:rPr>
              <w:t>3</w:t>
            </w:r>
          </w:p>
        </w:tc>
        <w:tc>
          <w:tcPr>
            <w:tcW w:w="458"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690</w:t>
            </w:r>
          </w:p>
        </w:tc>
        <w:tc>
          <w:tcPr>
            <w:tcW w:w="474"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85</w:t>
            </w:r>
          </w:p>
        </w:tc>
        <w:tc>
          <w:tcPr>
            <w:tcW w:w="456"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605</w:t>
            </w:r>
          </w:p>
        </w:tc>
        <w:tc>
          <w:tcPr>
            <w:tcW w:w="422" w:type="dxa"/>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161</w:t>
            </w:r>
          </w:p>
        </w:tc>
        <w:tc>
          <w:tcPr>
            <w:tcW w:w="684"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4</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571" w:type="dxa"/>
            <w:vAlign w:val="center"/>
          </w:tcPr>
          <w:p>
            <w:pPr>
              <w:spacing w:line="240" w:lineRule="auto"/>
              <w:ind w:firstLine="0" w:firstLineChars="0"/>
              <w:jc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8</w:t>
            </w:r>
          </w:p>
        </w:tc>
        <w:tc>
          <w:tcPr>
            <w:tcW w:w="571" w:type="dxa"/>
            <w:vAlign w:val="center"/>
          </w:tcPr>
          <w:p>
            <w:pPr>
              <w:spacing w:line="240" w:lineRule="auto"/>
              <w:ind w:firstLine="0" w:firstLineChars="0"/>
              <w:jc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8</w:t>
            </w:r>
          </w:p>
        </w:tc>
        <w:tc>
          <w:tcPr>
            <w:tcW w:w="571"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495"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restart"/>
            <w:vAlign w:val="center"/>
          </w:tcPr>
          <w:p>
            <w:pPr>
              <w:widowControl/>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专</w:t>
            </w:r>
          </w:p>
          <w:p>
            <w:pPr>
              <w:widowControl/>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业</w:t>
            </w:r>
          </w:p>
          <w:p>
            <w:pPr>
              <w:widowControl/>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方</w:t>
            </w:r>
          </w:p>
          <w:p>
            <w:pPr>
              <w:widowControl/>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向</w:t>
            </w:r>
          </w:p>
          <w:p>
            <w:pPr>
              <w:widowControl/>
              <w:spacing w:line="240" w:lineRule="auto"/>
              <w:ind w:firstLine="0" w:firstLineChars="0"/>
              <w:jc w:val="center"/>
              <w:textAlignment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课</w:t>
            </w: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12</w:t>
            </w:r>
          </w:p>
        </w:tc>
        <w:tc>
          <w:tcPr>
            <w:tcW w:w="1731"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▲网络商品拍摄与后期</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20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13</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b/>
                <w:bCs/>
                <w:color w:val="auto"/>
                <w:sz w:val="18"/>
                <w:szCs w:val="18"/>
                <w:highlight w:val="none"/>
              </w:rPr>
              <w:t>■</w:t>
            </w:r>
            <w:r>
              <w:rPr>
                <w:rFonts w:hint="eastAsia" w:cs="宋体" w:asciiTheme="minorHAnsi" w:hAnsiTheme="minorHAnsi" w:eastAsiaTheme="minorHAnsi"/>
                <w:color w:val="auto"/>
                <w:sz w:val="18"/>
                <w:szCs w:val="18"/>
                <w:highlight w:val="none"/>
              </w:rPr>
              <w:t>网络文案编辑</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14</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电商运营实训/项目实战训练</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60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60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15</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pacing w:val="-20"/>
                <w:sz w:val="18"/>
                <w:szCs w:val="18"/>
                <w:highlight w:val="none"/>
              </w:rPr>
            </w:pPr>
            <w:r>
              <w:rPr>
                <w:rFonts w:hint="eastAsia" w:cs="宋体" w:asciiTheme="minorHAnsi" w:hAnsiTheme="minorHAnsi" w:eastAsiaTheme="minorHAnsi"/>
                <w:color w:val="auto"/>
                <w:spacing w:val="-20"/>
                <w:sz w:val="18"/>
                <w:szCs w:val="18"/>
                <w:highlight w:val="none"/>
              </w:rPr>
              <w:t>客户关系管理</w:t>
            </w:r>
          </w:p>
        </w:tc>
        <w:tc>
          <w:tcPr>
            <w:tcW w:w="521" w:type="dxa"/>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lang w:eastAsia="zh-CN"/>
              </w:rPr>
            </w:pPr>
            <w:r>
              <w:rPr>
                <w:rFonts w:hint="eastAsia" w:cs="宋体" w:asciiTheme="minorHAnsi" w:hAnsiTheme="minorHAnsi" w:eastAsiaTheme="minorHAnsi"/>
                <w:color w:val="auto"/>
                <w:sz w:val="18"/>
                <w:szCs w:val="18"/>
                <w:highlight w:val="none"/>
                <w:lang w:val="en-US" w:eastAsia="zh-CN"/>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20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20/S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16</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新媒体营销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54</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5</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17</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▲电商实战</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16</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240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46</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240/</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18</w:t>
            </w:r>
          </w:p>
        </w:tc>
        <w:tc>
          <w:tcPr>
            <w:tcW w:w="1731"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color w:val="auto"/>
                <w:sz w:val="18"/>
                <w:szCs w:val="18"/>
                <w:highlight w:val="none"/>
              </w:rPr>
              <w:t>▲电商企业职业技能培训/项目实战训练</w:t>
            </w:r>
          </w:p>
        </w:tc>
        <w:tc>
          <w:tcPr>
            <w:tcW w:w="52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2</w:t>
            </w:r>
          </w:p>
        </w:tc>
        <w:tc>
          <w:tcPr>
            <w:tcW w:w="458"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40</w:t>
            </w:r>
          </w:p>
        </w:tc>
        <w:tc>
          <w:tcPr>
            <w:tcW w:w="474"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20</w:t>
            </w:r>
          </w:p>
        </w:tc>
        <w:tc>
          <w:tcPr>
            <w:tcW w:w="456"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20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4</w:t>
            </w: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19</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视频编辑制作与营销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1.5</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20</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电商视觉营销</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40</w:t>
            </w: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kern w:val="0"/>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21</w:t>
            </w:r>
          </w:p>
        </w:tc>
        <w:tc>
          <w:tcPr>
            <w:tcW w:w="1731" w:type="dxa"/>
            <w:vAlign w:val="center"/>
          </w:tcPr>
          <w:p>
            <w:pPr>
              <w:widowControl/>
              <w:spacing w:line="240" w:lineRule="auto"/>
              <w:ind w:firstLine="0" w:firstLineChars="0"/>
              <w:jc w:val="left"/>
              <w:textAlignment w:val="center"/>
              <w:rPr>
                <w:rFonts w:hint="eastAsia"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▲电商运营实战</w:t>
            </w:r>
            <w:r>
              <w:rPr>
                <w:rFonts w:hint="eastAsia" w:cs="宋体" w:asciiTheme="minorHAnsi" w:hAnsiTheme="minorHAnsi" w:eastAsiaTheme="minorHAnsi"/>
                <w:color w:val="auto"/>
                <w:sz w:val="18"/>
                <w:szCs w:val="18"/>
                <w:highlight w:val="none"/>
                <w:lang w:val="en-US" w:eastAsia="zh-CN"/>
              </w:rPr>
              <w:t>/</w:t>
            </w:r>
            <w:r>
              <w:rPr>
                <w:rFonts w:hint="eastAsia" w:cs="宋体" w:asciiTheme="minorHAnsi" w:hAnsiTheme="minorHAnsi" w:eastAsiaTheme="minorHAnsi"/>
                <w:color w:val="auto"/>
                <w:sz w:val="18"/>
                <w:szCs w:val="18"/>
                <w:highlight w:val="none"/>
              </w:rPr>
              <w:t>项目实战训练</w:t>
            </w:r>
          </w:p>
        </w:tc>
        <w:tc>
          <w:tcPr>
            <w:tcW w:w="52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4</w:t>
            </w:r>
          </w:p>
        </w:tc>
        <w:tc>
          <w:tcPr>
            <w:tcW w:w="458"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60</w:t>
            </w:r>
          </w:p>
        </w:tc>
        <w:tc>
          <w:tcPr>
            <w:tcW w:w="474"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cs="宋体" w:asciiTheme="minorHAnsi" w:hAnsiTheme="minorHAnsi" w:eastAsiaTheme="minorHAnsi"/>
                <w:bCs/>
                <w:color w:val="auto"/>
                <w:sz w:val="18"/>
                <w:szCs w:val="18"/>
                <w:highlight w:val="none"/>
              </w:rPr>
              <w:t>0</w:t>
            </w:r>
          </w:p>
        </w:tc>
        <w:tc>
          <w:tcPr>
            <w:tcW w:w="456"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60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cs="宋体" w:asciiTheme="minorHAnsi" w:hAnsiTheme="minorHAnsi" w:eastAsiaTheme="minorHAnsi"/>
                <w:bCs/>
                <w:color w:val="auto"/>
                <w:sz w:val="18"/>
                <w:szCs w:val="18"/>
                <w:highlight w:val="none"/>
              </w:rPr>
            </w:pPr>
            <w:r>
              <w:rPr>
                <w:rFonts w:hint="eastAsia" w:cs="宋体" w:asciiTheme="minorHAnsi" w:hAnsiTheme="minorHAnsi" w:eastAsiaTheme="minorHAnsi"/>
                <w:bCs/>
                <w:color w:val="auto"/>
                <w:sz w:val="18"/>
                <w:szCs w:val="18"/>
                <w:highlight w:val="none"/>
              </w:rPr>
              <w:t>10</w:t>
            </w: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cs="宋体" w:asciiTheme="minorHAnsi" w:hAnsiTheme="minorHAnsi" w:eastAsiaTheme="minorHAnsi"/>
                <w:bCs/>
                <w:color w:val="auto"/>
                <w:sz w:val="18"/>
                <w:szCs w:val="18"/>
                <w:highlight w:val="none"/>
              </w:rPr>
            </w:pPr>
            <w:r>
              <w:rPr>
                <w:rFonts w:hint="eastAsia" w:cs="宋体" w:asciiTheme="minorHAnsi" w:hAnsiTheme="minorHAnsi"/>
                <w:bCs/>
                <w:color w:val="auto"/>
                <w:sz w:val="18"/>
                <w:szCs w:val="18"/>
                <w:highlight w:val="none"/>
                <w:lang w:eastAsia="zh-CN"/>
              </w:rPr>
              <w:t>1301</w:t>
            </w:r>
            <w:r>
              <w:rPr>
                <w:rFonts w:hint="eastAsia" w:cs="宋体" w:asciiTheme="minorHAnsi" w:hAnsiTheme="minorHAnsi" w:eastAsiaTheme="minorHAnsi"/>
                <w:bCs/>
                <w:color w:val="auto"/>
                <w:sz w:val="18"/>
                <w:szCs w:val="18"/>
                <w:highlight w:val="none"/>
              </w:rPr>
              <w:t>22</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ascii="MS Gothic" w:hAnsi="MS Gothic" w:eastAsia="MS Gothic" w:cs="MS Gothic"/>
                <w:color w:val="auto"/>
                <w:sz w:val="18"/>
                <w:szCs w:val="18"/>
                <w:highlight w:val="none"/>
              </w:rPr>
              <w:t>◈</w:t>
            </w:r>
            <w:r>
              <w:rPr>
                <w:rFonts w:hint="eastAsia" w:cs="宋体" w:asciiTheme="minorHAnsi" w:hAnsiTheme="minorHAnsi" w:eastAsiaTheme="minorHAnsi"/>
                <w:color w:val="auto"/>
                <w:sz w:val="18"/>
                <w:szCs w:val="18"/>
                <w:highlight w:val="none"/>
              </w:rPr>
              <w:t>大学生创业指导</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4</w:t>
            </w:r>
          </w:p>
        </w:tc>
        <w:tc>
          <w:tcPr>
            <w:tcW w:w="495" w:type="dxa"/>
            <w:vAlign w:val="center"/>
          </w:tcPr>
          <w:p>
            <w:pPr>
              <w:widowControl/>
              <w:spacing w:line="240" w:lineRule="auto"/>
              <w:ind w:firstLine="360"/>
              <w:jc w:val="center"/>
              <w:rPr>
                <w:rFonts w:cs="宋体" w:asciiTheme="minorHAnsi" w:hAnsiTheme="minorHAnsi" w:eastAsiaTheme="minorHAnsi"/>
                <w:color w:val="auto"/>
                <w:kern w:val="0"/>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default" w:eastAsia="宋体" w:cs="宋体" w:asciiTheme="minorHAnsi" w:hAnsiTheme="minorHAnsi"/>
                <w:bCs/>
                <w:color w:val="auto"/>
                <w:sz w:val="18"/>
                <w:szCs w:val="18"/>
                <w:highlight w:val="none"/>
                <w:lang w:val="en-US" w:eastAsia="zh-CN"/>
              </w:rPr>
            </w:pPr>
            <w:r>
              <w:rPr>
                <w:rFonts w:hint="eastAsia" w:cs="宋体" w:asciiTheme="minorHAnsi" w:hAnsiTheme="minorHAnsi"/>
                <w:bCs/>
                <w:color w:val="auto"/>
                <w:sz w:val="18"/>
                <w:szCs w:val="18"/>
                <w:highlight w:val="none"/>
                <w:lang w:val="en-US" w:eastAsia="zh-CN"/>
              </w:rPr>
              <w:t>k</w:t>
            </w:r>
            <w:r>
              <w:rPr>
                <w:rFonts w:hint="eastAsia" w:cs="宋体" w:asciiTheme="minorHAnsi" w:hAnsiTheme="minorHAnsi" w:eastAsiaTheme="minorHAnsi"/>
                <w:bCs/>
                <w:color w:val="auto"/>
                <w:sz w:val="18"/>
                <w:szCs w:val="18"/>
                <w:highlight w:val="none"/>
              </w:rPr>
              <w:t>s</w:t>
            </w:r>
            <w:r>
              <w:rPr>
                <w:rFonts w:hint="eastAsia" w:cs="宋体" w:asciiTheme="minorHAnsi" w:hAnsiTheme="minorHAnsi"/>
                <w:bCs/>
                <w:color w:val="auto"/>
                <w:sz w:val="18"/>
                <w:szCs w:val="18"/>
                <w:highlight w:val="none"/>
                <w:lang w:eastAsia="zh-CN"/>
              </w:rPr>
              <w:t>1301</w:t>
            </w:r>
            <w:r>
              <w:rPr>
                <w:rFonts w:hint="eastAsia" w:cs="宋体" w:asciiTheme="minorHAnsi" w:hAnsiTheme="minorHAnsi"/>
                <w:bCs/>
                <w:color w:val="auto"/>
                <w:sz w:val="18"/>
                <w:szCs w:val="18"/>
                <w:highlight w:val="none"/>
                <w:lang w:val="en-US" w:eastAsia="zh-CN"/>
              </w:rPr>
              <w:t>01</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▲毕业论文</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8</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120</w:t>
            </w:r>
          </w:p>
        </w:tc>
        <w:tc>
          <w:tcPr>
            <w:tcW w:w="422" w:type="dxa"/>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0" w:firstLineChars="0"/>
              <w:rPr>
                <w:rFonts w:cs="宋体" w:asciiTheme="minorHAnsi" w:hAnsiTheme="minorHAnsi" w:eastAsiaTheme="minorHAnsi"/>
                <w:color w:val="auto"/>
                <w:kern w:val="0"/>
                <w:sz w:val="18"/>
                <w:szCs w:val="18"/>
                <w:highlight w:val="none"/>
              </w:rPr>
            </w:pPr>
            <w:r>
              <w:rPr>
                <w:rFonts w:hint="eastAsia" w:cs="宋体" w:asciiTheme="minorHAnsi" w:hAnsiTheme="minorHAnsi" w:eastAsiaTheme="minorHAnsi"/>
                <w:color w:val="auto"/>
                <w:kern w:val="0"/>
                <w:sz w:val="18"/>
                <w:szCs w:val="18"/>
                <w:highlight w:val="none"/>
              </w:rPr>
              <w:t>120/</w:t>
            </w:r>
            <w:r>
              <w:rPr>
                <w:rFonts w:cs="宋体" w:asciiTheme="minorHAnsi" w:hAnsiTheme="minorHAnsi" w:eastAsiaTheme="minorHAnsi"/>
                <w:color w:val="auto"/>
                <w:kern w:val="0"/>
                <w:sz w:val="18"/>
                <w:szCs w:val="18"/>
                <w:highlight w:val="none"/>
              </w:rPr>
              <w:t>S</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2558" w:type="dxa"/>
            <w:gridSpan w:val="2"/>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小计</w:t>
            </w:r>
          </w:p>
        </w:tc>
        <w:tc>
          <w:tcPr>
            <w:tcW w:w="52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rPr>
              <w:t>4</w:t>
            </w:r>
            <w:r>
              <w:rPr>
                <w:rFonts w:hint="eastAsia" w:asciiTheme="minorHAnsi" w:hAnsiTheme="minorHAnsi" w:eastAsiaTheme="minorHAnsi"/>
                <w:b/>
                <w:bCs w:val="0"/>
                <w:color w:val="auto"/>
                <w:sz w:val="18"/>
                <w:szCs w:val="18"/>
                <w:highlight w:val="none"/>
                <w:lang w:val="en-US" w:eastAsia="zh-CN"/>
              </w:rPr>
              <w:t>4</w:t>
            </w:r>
          </w:p>
        </w:tc>
        <w:tc>
          <w:tcPr>
            <w:tcW w:w="458"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712</w:t>
            </w:r>
          </w:p>
        </w:tc>
        <w:tc>
          <w:tcPr>
            <w:tcW w:w="474"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112</w:t>
            </w:r>
          </w:p>
        </w:tc>
        <w:tc>
          <w:tcPr>
            <w:tcW w:w="456"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600</w:t>
            </w:r>
          </w:p>
        </w:tc>
        <w:tc>
          <w:tcPr>
            <w:tcW w:w="422" w:type="dxa"/>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180</w:t>
            </w:r>
          </w:p>
        </w:tc>
        <w:tc>
          <w:tcPr>
            <w:tcW w:w="684"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571"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6</w:t>
            </w:r>
          </w:p>
        </w:tc>
        <w:tc>
          <w:tcPr>
            <w:tcW w:w="571" w:type="dxa"/>
            <w:vAlign w:val="center"/>
          </w:tcPr>
          <w:p>
            <w:pPr>
              <w:spacing w:line="240" w:lineRule="auto"/>
              <w:ind w:firstLine="0" w:firstLineChars="0"/>
              <w:jc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5</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12</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14</w:t>
            </w:r>
          </w:p>
        </w:tc>
        <w:tc>
          <w:tcPr>
            <w:tcW w:w="495"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restart"/>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专</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业</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限</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选</w:t>
            </w:r>
          </w:p>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课</w:t>
            </w:r>
          </w:p>
        </w:tc>
        <w:tc>
          <w:tcPr>
            <w:tcW w:w="827" w:type="dxa"/>
            <w:vAlign w:val="center"/>
          </w:tcPr>
          <w:p>
            <w:pPr>
              <w:widowControl/>
              <w:spacing w:line="240" w:lineRule="auto"/>
              <w:ind w:firstLine="0" w:firstLineChars="0"/>
              <w:textAlignment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xx</w:t>
            </w:r>
            <w:r>
              <w:rPr>
                <w:rFonts w:hint="eastAsia" w:cs="宋体" w:asciiTheme="minorHAnsi" w:hAnsiTheme="minorHAnsi"/>
                <w:color w:val="auto"/>
                <w:sz w:val="18"/>
                <w:szCs w:val="18"/>
                <w:highlight w:val="none"/>
                <w:lang w:eastAsia="zh-CN"/>
              </w:rPr>
              <w:t>1301</w:t>
            </w:r>
            <w:r>
              <w:rPr>
                <w:rFonts w:hint="eastAsia" w:cs="宋体" w:asciiTheme="minorHAnsi" w:hAnsiTheme="minorHAnsi"/>
                <w:color w:val="auto"/>
                <w:sz w:val="18"/>
                <w:szCs w:val="18"/>
                <w:highlight w:val="none"/>
                <w:lang w:val="en-US" w:eastAsia="zh-CN"/>
              </w:rPr>
              <w:t>01</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执行力与精细化管理</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kern w:val="0"/>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jc w:val="left"/>
              <w:textAlignment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xx</w:t>
            </w:r>
            <w:r>
              <w:rPr>
                <w:rFonts w:hint="eastAsia" w:cs="宋体" w:asciiTheme="minorHAnsi" w:hAnsiTheme="minorHAnsi"/>
                <w:color w:val="auto"/>
                <w:sz w:val="18"/>
                <w:szCs w:val="18"/>
                <w:highlight w:val="none"/>
                <w:lang w:eastAsia="zh-CN"/>
              </w:rPr>
              <w:t>1301</w:t>
            </w:r>
            <w:r>
              <w:rPr>
                <w:rFonts w:hint="eastAsia" w:cs="宋体" w:asciiTheme="minorHAnsi" w:hAnsiTheme="minorHAnsi"/>
                <w:color w:val="auto"/>
                <w:sz w:val="18"/>
                <w:szCs w:val="18"/>
                <w:highlight w:val="none"/>
                <w:lang w:val="en-US" w:eastAsia="zh-CN"/>
              </w:rPr>
              <w:t>02</w:t>
            </w:r>
          </w:p>
        </w:tc>
        <w:tc>
          <w:tcPr>
            <w:tcW w:w="1731" w:type="dxa"/>
            <w:vAlign w:val="center"/>
          </w:tcPr>
          <w:p>
            <w:pPr>
              <w:widowControl/>
              <w:spacing w:line="240" w:lineRule="auto"/>
              <w:ind w:firstLine="0" w:firstLineChars="0"/>
              <w:jc w:val="left"/>
              <w:rPr>
                <w:rFonts w:cs="宋体" w:asciiTheme="minorHAnsi" w:hAnsiTheme="minorHAnsi" w:eastAsiaTheme="minorHAnsi"/>
                <w:b/>
                <w:color w:val="auto"/>
                <w:kern w:val="0"/>
                <w:sz w:val="18"/>
                <w:szCs w:val="18"/>
                <w:highlight w:val="none"/>
              </w:rPr>
            </w:pPr>
            <w:r>
              <w:rPr>
                <w:rFonts w:hint="eastAsia" w:cs="宋体" w:asciiTheme="minorHAnsi" w:hAnsiTheme="minorHAnsi" w:eastAsiaTheme="minorHAnsi"/>
                <w:bCs/>
                <w:color w:val="auto"/>
                <w:kern w:val="0"/>
                <w:sz w:val="18"/>
                <w:szCs w:val="18"/>
                <w:highlight w:val="none"/>
              </w:rPr>
              <w:t>人工智能导论</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spacing w:line="240" w:lineRule="auto"/>
              <w:ind w:firstLine="0" w:firstLineChars="0"/>
              <w:jc w:val="center"/>
              <w:rPr>
                <w:rFonts w:asciiTheme="minorHAnsi" w:hAnsiTheme="minorHAnsi" w:eastAsiaTheme="minorHAnsi"/>
                <w:bCs/>
                <w:color w:val="auto"/>
                <w:kern w:val="0"/>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r>
              <w:rPr>
                <w:rFonts w:cs="宋体" w:asciiTheme="minorHAnsi" w:hAnsiTheme="minorHAnsi" w:eastAsiaTheme="minorHAnsi"/>
                <w:color w:val="auto"/>
                <w:sz w:val="18"/>
                <w:szCs w:val="18"/>
                <w:highlight w:val="none"/>
              </w:rPr>
              <w:t>S</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widowControl/>
              <w:spacing w:line="240" w:lineRule="auto"/>
              <w:ind w:firstLine="360"/>
              <w:jc w:val="center"/>
              <w:rPr>
                <w:rFonts w:cs="宋体" w:asciiTheme="minorHAnsi" w:hAnsiTheme="minorHAnsi" w:eastAsiaTheme="minorHAnsi"/>
                <w:color w:val="auto"/>
                <w:kern w:val="0"/>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tcBorders>
              <w:bottom w:val="single" w:color="auto" w:sz="4" w:space="0"/>
              <w:right w:val="single" w:color="auto" w:sz="4" w:space="0"/>
            </w:tcBorders>
            <w:vAlign w:val="center"/>
          </w:tcPr>
          <w:p>
            <w:pPr>
              <w:widowControl/>
              <w:spacing w:line="240" w:lineRule="auto"/>
              <w:ind w:firstLine="0" w:firstLineChars="0"/>
              <w:textAlignment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xx</w:t>
            </w:r>
            <w:r>
              <w:rPr>
                <w:rFonts w:hint="eastAsia" w:cs="宋体" w:asciiTheme="minorHAnsi" w:hAnsiTheme="minorHAnsi"/>
                <w:color w:val="auto"/>
                <w:sz w:val="18"/>
                <w:szCs w:val="18"/>
                <w:highlight w:val="none"/>
                <w:lang w:eastAsia="zh-CN"/>
              </w:rPr>
              <w:t>1301</w:t>
            </w:r>
            <w:r>
              <w:rPr>
                <w:rFonts w:hint="eastAsia" w:cs="宋体" w:asciiTheme="minorHAnsi" w:hAnsiTheme="minorHAnsi"/>
                <w:color w:val="auto"/>
                <w:sz w:val="18"/>
                <w:szCs w:val="18"/>
                <w:highlight w:val="none"/>
                <w:lang w:val="en-US" w:eastAsia="zh-CN"/>
              </w:rPr>
              <w:t>03</w:t>
            </w:r>
          </w:p>
        </w:tc>
        <w:tc>
          <w:tcPr>
            <w:tcW w:w="1731" w:type="dxa"/>
            <w:tcBorders>
              <w:left w:val="single" w:color="auto" w:sz="4" w:space="0"/>
              <w:bottom w:val="single" w:color="auto" w:sz="4" w:space="0"/>
            </w:tcBorders>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bCs/>
                <w:color w:val="auto"/>
                <w:kern w:val="0"/>
                <w:sz w:val="18"/>
                <w:szCs w:val="18"/>
                <w:highlight w:val="none"/>
              </w:rPr>
              <w:t>中华优秀传统文化</w:t>
            </w:r>
          </w:p>
        </w:tc>
        <w:tc>
          <w:tcPr>
            <w:tcW w:w="521" w:type="dxa"/>
            <w:tcBorders>
              <w:bottom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2</w:t>
            </w:r>
          </w:p>
        </w:tc>
        <w:tc>
          <w:tcPr>
            <w:tcW w:w="458" w:type="dxa"/>
            <w:tcBorders>
              <w:bottom w:val="single" w:color="auto" w:sz="4" w:space="0"/>
            </w:tcBorders>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32</w:t>
            </w:r>
          </w:p>
        </w:tc>
        <w:tc>
          <w:tcPr>
            <w:tcW w:w="474" w:type="dxa"/>
            <w:tcBorders>
              <w:bottom w:val="single" w:color="auto" w:sz="4" w:space="0"/>
            </w:tcBorders>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32</w:t>
            </w:r>
          </w:p>
        </w:tc>
        <w:tc>
          <w:tcPr>
            <w:tcW w:w="456" w:type="dxa"/>
            <w:tcBorders>
              <w:bottom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0</w:t>
            </w:r>
          </w:p>
        </w:tc>
        <w:tc>
          <w:tcPr>
            <w:tcW w:w="422" w:type="dxa"/>
            <w:tcBorders>
              <w:bottom w:val="single" w:color="auto" w:sz="4" w:space="0"/>
            </w:tcBorders>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tcBorders>
              <w:bottom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tcBorders>
              <w:bottom w:val="single" w:color="auto" w:sz="4" w:space="0"/>
            </w:tcBorders>
            <w:vAlign w:val="center"/>
          </w:tcPr>
          <w:p>
            <w:pPr>
              <w:widowControl/>
              <w:spacing w:line="240" w:lineRule="auto"/>
              <w:ind w:firstLine="0" w:firstLineChars="0"/>
              <w:jc w:val="center"/>
              <w:rPr>
                <w:rFonts w:hint="default" w:cs="宋体" w:asciiTheme="minorHAnsi" w:hAnsiTheme="minorHAnsi" w:eastAsia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lang w:val="en-US" w:eastAsia="zh-CN"/>
              </w:rPr>
              <w:t>2</w:t>
            </w:r>
          </w:p>
        </w:tc>
        <w:tc>
          <w:tcPr>
            <w:tcW w:w="571" w:type="dxa"/>
            <w:tcBorders>
              <w:bottom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tcBorders>
              <w:bottom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tcBorders>
              <w:bottom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tcBorders>
              <w:bottom w:val="single" w:color="auto" w:sz="4" w:space="0"/>
            </w:tcBorders>
            <w:vAlign w:val="center"/>
          </w:tcPr>
          <w:p>
            <w:pPr>
              <w:widowControl/>
              <w:spacing w:line="240" w:lineRule="auto"/>
              <w:ind w:firstLine="360"/>
              <w:jc w:val="center"/>
              <w:rPr>
                <w:rFonts w:cs="宋体" w:asciiTheme="minorHAnsi" w:hAnsiTheme="minorHAnsi" w:eastAsiaTheme="minorHAnsi"/>
                <w:color w:val="auto"/>
                <w:kern w:val="0"/>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9"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tcBorders>
              <w:top w:val="single" w:color="auto" w:sz="4" w:space="0"/>
            </w:tcBorders>
            <w:vAlign w:val="center"/>
          </w:tcPr>
          <w:p>
            <w:pPr>
              <w:widowControl/>
              <w:spacing w:line="240" w:lineRule="auto"/>
              <w:ind w:firstLine="0" w:firstLineChars="0"/>
              <w:textAlignment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xx</w:t>
            </w:r>
            <w:r>
              <w:rPr>
                <w:rFonts w:hint="eastAsia" w:cs="宋体" w:asciiTheme="minorHAnsi" w:hAnsiTheme="minorHAnsi"/>
                <w:color w:val="auto"/>
                <w:sz w:val="18"/>
                <w:szCs w:val="18"/>
                <w:highlight w:val="none"/>
                <w:lang w:eastAsia="zh-CN"/>
              </w:rPr>
              <w:t>1301</w:t>
            </w:r>
            <w:r>
              <w:rPr>
                <w:rFonts w:hint="eastAsia" w:cs="宋体" w:asciiTheme="minorHAnsi" w:hAnsiTheme="minorHAnsi"/>
                <w:color w:val="auto"/>
                <w:sz w:val="18"/>
                <w:szCs w:val="18"/>
                <w:highlight w:val="none"/>
                <w:lang w:val="en-US" w:eastAsia="zh-CN"/>
              </w:rPr>
              <w:t>04</w:t>
            </w:r>
          </w:p>
        </w:tc>
        <w:tc>
          <w:tcPr>
            <w:tcW w:w="1731" w:type="dxa"/>
            <w:tcBorders>
              <w:top w:val="single" w:color="auto" w:sz="4" w:space="0"/>
            </w:tcBorders>
            <w:vAlign w:val="center"/>
          </w:tcPr>
          <w:p>
            <w:pPr>
              <w:widowControl/>
              <w:spacing w:line="240" w:lineRule="auto"/>
              <w:ind w:firstLine="0" w:firstLineChars="0"/>
              <w:jc w:val="left"/>
              <w:rPr>
                <w:rFonts w:hint="eastAsia" w:cs="宋体" w:asciiTheme="minorHAnsi" w:hAnsiTheme="minorHAnsi" w:eastAsiaTheme="minorHAnsi"/>
                <w:color w:val="auto"/>
                <w:sz w:val="18"/>
                <w:szCs w:val="18"/>
                <w:highlight w:val="none"/>
                <w:lang w:eastAsia="zh-CN"/>
              </w:rPr>
            </w:pPr>
            <w:r>
              <w:rPr>
                <w:rFonts w:hint="eastAsia" w:cs="宋体" w:asciiTheme="minorHAnsi" w:hAnsiTheme="minorHAnsi" w:eastAsiaTheme="minorHAnsi"/>
                <w:color w:val="auto"/>
                <w:sz w:val="18"/>
                <w:szCs w:val="18"/>
                <w:highlight w:val="none"/>
                <w:lang w:eastAsia="zh-CN"/>
              </w:rPr>
              <w:t>阅读</w:t>
            </w:r>
            <w:r>
              <w:rPr>
                <w:rFonts w:hint="eastAsia" w:cs="宋体" w:asciiTheme="minorHAnsi" w:hAnsiTheme="minorHAnsi" w:eastAsiaTheme="minorHAnsi"/>
                <w:color w:val="auto"/>
                <w:sz w:val="18"/>
                <w:szCs w:val="18"/>
                <w:highlight w:val="none"/>
              </w:rPr>
              <w:t>与鉴赏</w:t>
            </w:r>
          </w:p>
        </w:tc>
        <w:tc>
          <w:tcPr>
            <w:tcW w:w="521" w:type="dxa"/>
            <w:tcBorders>
              <w:top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lang w:eastAsia="zh-CN"/>
              </w:rPr>
            </w:pPr>
            <w:r>
              <w:rPr>
                <w:rFonts w:hint="eastAsia" w:cs="宋体" w:asciiTheme="minorHAnsi" w:hAnsiTheme="minorHAnsi" w:eastAsiaTheme="minorHAnsi"/>
                <w:color w:val="auto"/>
                <w:sz w:val="18"/>
                <w:szCs w:val="18"/>
                <w:highlight w:val="none"/>
                <w:lang w:val="en-US" w:eastAsia="zh-CN"/>
              </w:rPr>
              <w:t>1</w:t>
            </w:r>
          </w:p>
        </w:tc>
        <w:tc>
          <w:tcPr>
            <w:tcW w:w="458" w:type="dxa"/>
            <w:tcBorders>
              <w:top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2</w:t>
            </w:r>
            <w:r>
              <w:rPr>
                <w:rFonts w:hint="eastAsia" w:cs="宋体" w:asciiTheme="minorHAnsi" w:hAnsiTheme="minorHAnsi" w:eastAsiaTheme="minorHAnsi"/>
                <w:color w:val="auto"/>
                <w:sz w:val="18"/>
                <w:szCs w:val="18"/>
                <w:highlight w:val="none"/>
              </w:rPr>
              <w:t>0</w:t>
            </w:r>
          </w:p>
        </w:tc>
        <w:tc>
          <w:tcPr>
            <w:tcW w:w="474" w:type="dxa"/>
            <w:tcBorders>
              <w:top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lang w:val="en-US" w:eastAsia="zh-CN"/>
              </w:rPr>
              <w:t>2</w:t>
            </w:r>
            <w:r>
              <w:rPr>
                <w:rFonts w:hint="eastAsia" w:cs="宋体" w:asciiTheme="minorHAnsi" w:hAnsiTheme="minorHAnsi" w:eastAsiaTheme="minorHAnsi"/>
                <w:color w:val="auto"/>
                <w:sz w:val="18"/>
                <w:szCs w:val="18"/>
                <w:highlight w:val="none"/>
              </w:rPr>
              <w:t>0</w:t>
            </w:r>
          </w:p>
        </w:tc>
        <w:tc>
          <w:tcPr>
            <w:tcW w:w="456" w:type="dxa"/>
            <w:tcBorders>
              <w:top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Borders>
              <w:top w:val="single" w:color="auto" w:sz="4" w:space="0"/>
            </w:tcBorders>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tcBorders>
              <w:top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tcBorders>
              <w:top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rPr>
            </w:pPr>
          </w:p>
        </w:tc>
        <w:tc>
          <w:tcPr>
            <w:tcW w:w="571" w:type="dxa"/>
            <w:tcBorders>
              <w:top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tcBorders>
              <w:top w:val="single" w:color="auto" w:sz="4" w:space="0"/>
            </w:tcBorders>
            <w:vAlign w:val="center"/>
          </w:tcPr>
          <w:p>
            <w:pPr>
              <w:widowControl/>
              <w:spacing w:line="240" w:lineRule="auto"/>
              <w:ind w:firstLine="0" w:firstLineChars="0"/>
              <w:jc w:val="center"/>
              <w:rPr>
                <w:rFonts w:hint="eastAsia"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20/S</w:t>
            </w:r>
          </w:p>
        </w:tc>
        <w:tc>
          <w:tcPr>
            <w:tcW w:w="571" w:type="dxa"/>
            <w:tcBorders>
              <w:top w:val="single" w:color="auto" w:sz="4" w:space="0"/>
            </w:tcBorders>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tcBorders>
              <w:top w:val="single" w:color="auto" w:sz="4" w:space="0"/>
            </w:tcBorders>
            <w:vAlign w:val="center"/>
          </w:tcPr>
          <w:p>
            <w:pPr>
              <w:widowControl/>
              <w:spacing w:line="240" w:lineRule="auto"/>
              <w:ind w:firstLine="360"/>
              <w:jc w:val="center"/>
              <w:rPr>
                <w:rFonts w:cs="宋体" w:asciiTheme="minorHAnsi" w:hAnsiTheme="minorHAnsi" w:eastAsiaTheme="minorHAnsi"/>
                <w:color w:val="auto"/>
                <w:kern w:val="0"/>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textAlignment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xx</w:t>
            </w:r>
            <w:r>
              <w:rPr>
                <w:rFonts w:hint="eastAsia" w:cs="宋体" w:asciiTheme="minorHAnsi" w:hAnsiTheme="minorHAnsi"/>
                <w:color w:val="auto"/>
                <w:sz w:val="18"/>
                <w:szCs w:val="18"/>
                <w:highlight w:val="none"/>
                <w:lang w:eastAsia="zh-CN"/>
              </w:rPr>
              <w:t>1301</w:t>
            </w:r>
            <w:r>
              <w:rPr>
                <w:rFonts w:hint="eastAsia" w:cs="宋体" w:asciiTheme="minorHAnsi" w:hAnsiTheme="minorHAnsi"/>
                <w:color w:val="auto"/>
                <w:sz w:val="18"/>
                <w:szCs w:val="18"/>
                <w:highlight w:val="none"/>
                <w:lang w:val="en-US" w:eastAsia="zh-CN"/>
              </w:rPr>
              <w:t>05</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团队素质拓展</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30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827" w:type="dxa"/>
            <w:vAlign w:val="center"/>
          </w:tcPr>
          <w:p>
            <w:pPr>
              <w:widowControl/>
              <w:spacing w:line="240" w:lineRule="auto"/>
              <w:ind w:firstLine="0" w:firstLineChars="0"/>
              <w:textAlignment w:val="center"/>
              <w:rPr>
                <w:rFonts w:hint="default" w:eastAsia="宋体" w:cs="宋体" w:asciiTheme="minorHAnsi" w:hAnsiTheme="minorHAnsi"/>
                <w:color w:val="auto"/>
                <w:sz w:val="18"/>
                <w:szCs w:val="18"/>
                <w:highlight w:val="none"/>
                <w:lang w:val="en-US" w:eastAsia="zh-CN"/>
              </w:rPr>
            </w:pPr>
            <w:r>
              <w:rPr>
                <w:rFonts w:hint="eastAsia" w:cs="宋体" w:asciiTheme="minorHAnsi" w:hAnsiTheme="minorHAnsi" w:eastAsiaTheme="minorHAnsi"/>
                <w:color w:val="auto"/>
                <w:sz w:val="18"/>
                <w:szCs w:val="18"/>
                <w:highlight w:val="none"/>
              </w:rPr>
              <w:t>xx</w:t>
            </w:r>
            <w:r>
              <w:rPr>
                <w:rFonts w:hint="eastAsia" w:cs="宋体" w:asciiTheme="minorHAnsi" w:hAnsiTheme="minorHAnsi"/>
                <w:color w:val="auto"/>
                <w:sz w:val="18"/>
                <w:szCs w:val="18"/>
                <w:highlight w:val="none"/>
                <w:lang w:eastAsia="zh-CN"/>
              </w:rPr>
              <w:t>1301</w:t>
            </w:r>
            <w:r>
              <w:rPr>
                <w:rFonts w:hint="eastAsia" w:cs="宋体" w:asciiTheme="minorHAnsi" w:hAnsiTheme="minorHAnsi"/>
                <w:color w:val="auto"/>
                <w:sz w:val="18"/>
                <w:szCs w:val="18"/>
                <w:highlight w:val="none"/>
                <w:lang w:val="en-US" w:eastAsia="zh-CN"/>
              </w:rPr>
              <w:t>06</w:t>
            </w:r>
          </w:p>
        </w:tc>
        <w:tc>
          <w:tcPr>
            <w:tcW w:w="1731" w:type="dxa"/>
            <w:vAlign w:val="center"/>
          </w:tcPr>
          <w:p>
            <w:pPr>
              <w:widowControl/>
              <w:spacing w:line="240" w:lineRule="auto"/>
              <w:ind w:firstLine="0" w:firstLineChars="0"/>
              <w:jc w:val="left"/>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“互联网+”时代的颠覆与创新</w:t>
            </w:r>
          </w:p>
        </w:tc>
        <w:tc>
          <w:tcPr>
            <w:tcW w:w="52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1</w:t>
            </w:r>
          </w:p>
        </w:tc>
        <w:tc>
          <w:tcPr>
            <w:tcW w:w="458"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7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20</w:t>
            </w:r>
          </w:p>
        </w:tc>
        <w:tc>
          <w:tcPr>
            <w:tcW w:w="456"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cs="宋体" w:asciiTheme="minorHAnsi" w:hAnsiTheme="minorHAnsi" w:eastAsiaTheme="minorHAnsi"/>
                <w:color w:val="auto"/>
                <w:sz w:val="18"/>
                <w:szCs w:val="18"/>
                <w:highlight w:val="none"/>
              </w:rPr>
              <w:t>0</w:t>
            </w: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r>
              <w:rPr>
                <w:rFonts w:hint="eastAsia" w:cs="宋体" w:asciiTheme="minorHAnsi" w:hAnsiTheme="minorHAnsi" w:eastAsiaTheme="minorHAnsi"/>
                <w:color w:val="auto"/>
                <w:sz w:val="18"/>
                <w:szCs w:val="18"/>
                <w:highlight w:val="none"/>
              </w:rPr>
              <w:t>2</w:t>
            </w: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571" w:type="dxa"/>
            <w:vAlign w:val="center"/>
          </w:tcPr>
          <w:p>
            <w:pPr>
              <w:widowControl/>
              <w:spacing w:line="240" w:lineRule="auto"/>
              <w:ind w:firstLine="0" w:firstLineChars="0"/>
              <w:jc w:val="center"/>
              <w:rPr>
                <w:rFonts w:cs="宋体" w:asciiTheme="minorHAnsi" w:hAnsiTheme="minorHAnsi" w:eastAsiaTheme="minorHAnsi"/>
                <w:color w:val="auto"/>
                <w:sz w:val="18"/>
                <w:szCs w:val="18"/>
                <w:highlight w:val="none"/>
              </w:rPr>
            </w:pPr>
          </w:p>
        </w:tc>
        <w:tc>
          <w:tcPr>
            <w:tcW w:w="495" w:type="dxa"/>
            <w:vAlign w:val="center"/>
          </w:tcPr>
          <w:p>
            <w:pPr>
              <w:spacing w:line="240" w:lineRule="auto"/>
              <w:ind w:firstLine="0" w:firstLineChars="0"/>
              <w:jc w:val="center"/>
              <w:rPr>
                <w:rFonts w:cs="宋体"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397" w:type="dxa"/>
            <w:vMerge w:val="continue"/>
            <w:vAlign w:val="center"/>
          </w:tcPr>
          <w:p>
            <w:pPr>
              <w:widowControl/>
              <w:spacing w:line="240" w:lineRule="auto"/>
              <w:ind w:firstLine="0" w:firstLineChars="0"/>
              <w:jc w:val="left"/>
              <w:rPr>
                <w:rFonts w:asciiTheme="minorHAnsi" w:hAnsiTheme="minorHAnsi" w:eastAsiaTheme="minorHAnsi"/>
                <w:b/>
                <w:color w:val="auto"/>
                <w:sz w:val="18"/>
                <w:szCs w:val="18"/>
                <w:highlight w:val="none"/>
              </w:rPr>
            </w:pPr>
          </w:p>
        </w:tc>
        <w:tc>
          <w:tcPr>
            <w:tcW w:w="2558" w:type="dxa"/>
            <w:gridSpan w:val="2"/>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小计</w:t>
            </w:r>
          </w:p>
        </w:tc>
        <w:tc>
          <w:tcPr>
            <w:tcW w:w="52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7</w:t>
            </w:r>
          </w:p>
        </w:tc>
        <w:tc>
          <w:tcPr>
            <w:tcW w:w="458"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eastAsia="zh-CN"/>
              </w:rPr>
            </w:pPr>
            <w:r>
              <w:rPr>
                <w:rFonts w:hint="eastAsia" w:asciiTheme="minorHAnsi" w:hAnsiTheme="minorHAnsi" w:eastAsiaTheme="minorHAnsi"/>
                <w:b/>
                <w:bCs w:val="0"/>
                <w:color w:val="auto"/>
                <w:sz w:val="18"/>
                <w:szCs w:val="18"/>
                <w:highlight w:val="none"/>
              </w:rPr>
              <w:t>1</w:t>
            </w:r>
            <w:r>
              <w:rPr>
                <w:rFonts w:hint="eastAsia" w:asciiTheme="minorHAnsi" w:hAnsiTheme="minorHAnsi"/>
                <w:b/>
                <w:bCs w:val="0"/>
                <w:color w:val="auto"/>
                <w:sz w:val="18"/>
                <w:szCs w:val="18"/>
                <w:highlight w:val="none"/>
                <w:lang w:val="en-US" w:eastAsia="zh-CN"/>
              </w:rPr>
              <w:t>4</w:t>
            </w:r>
            <w:r>
              <w:rPr>
                <w:rFonts w:hint="eastAsia" w:asciiTheme="minorHAnsi" w:hAnsiTheme="minorHAnsi" w:eastAsiaTheme="minorHAnsi"/>
                <w:b/>
                <w:bCs w:val="0"/>
                <w:color w:val="auto"/>
                <w:sz w:val="18"/>
                <w:szCs w:val="18"/>
                <w:highlight w:val="none"/>
                <w:lang w:val="en-US" w:eastAsia="zh-CN"/>
              </w:rPr>
              <w:t>2</w:t>
            </w:r>
          </w:p>
        </w:tc>
        <w:tc>
          <w:tcPr>
            <w:tcW w:w="474"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eastAsia="zh-CN"/>
              </w:rPr>
            </w:pPr>
            <w:r>
              <w:rPr>
                <w:rFonts w:hint="eastAsia" w:asciiTheme="minorHAnsi" w:hAnsiTheme="minorHAnsi" w:eastAsiaTheme="minorHAnsi"/>
                <w:b/>
                <w:bCs w:val="0"/>
                <w:color w:val="auto"/>
                <w:sz w:val="18"/>
                <w:szCs w:val="18"/>
                <w:highlight w:val="none"/>
              </w:rPr>
              <w:t>1</w:t>
            </w:r>
            <w:r>
              <w:rPr>
                <w:rFonts w:hint="eastAsia" w:asciiTheme="minorHAnsi" w:hAnsiTheme="minorHAnsi"/>
                <w:b/>
                <w:bCs w:val="0"/>
                <w:color w:val="auto"/>
                <w:sz w:val="18"/>
                <w:szCs w:val="18"/>
                <w:highlight w:val="none"/>
                <w:lang w:val="en-US" w:eastAsia="zh-CN"/>
              </w:rPr>
              <w:t>4</w:t>
            </w:r>
            <w:r>
              <w:rPr>
                <w:rFonts w:hint="eastAsia" w:asciiTheme="minorHAnsi" w:hAnsiTheme="minorHAnsi" w:eastAsiaTheme="minorHAnsi"/>
                <w:b/>
                <w:bCs w:val="0"/>
                <w:color w:val="auto"/>
                <w:sz w:val="18"/>
                <w:szCs w:val="18"/>
                <w:highlight w:val="none"/>
                <w:lang w:val="en-US" w:eastAsia="zh-CN"/>
              </w:rPr>
              <w:t>2</w:t>
            </w:r>
          </w:p>
        </w:tc>
        <w:tc>
          <w:tcPr>
            <w:tcW w:w="456" w:type="dxa"/>
            <w:vAlign w:val="center"/>
          </w:tcPr>
          <w:p>
            <w:pPr>
              <w:widowControl/>
              <w:spacing w:line="240" w:lineRule="auto"/>
              <w:ind w:firstLine="0" w:firstLineChars="0"/>
              <w:jc w:val="center"/>
              <w:textAlignment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422" w:type="dxa"/>
          </w:tcPr>
          <w:p>
            <w:pPr>
              <w:spacing w:line="240" w:lineRule="auto"/>
              <w:ind w:firstLine="0" w:firstLineChars="0"/>
              <w:jc w:val="center"/>
              <w:rPr>
                <w:rFonts w:asciiTheme="minorHAnsi" w:hAnsiTheme="minorHAnsi" w:eastAsiaTheme="minorHAnsi"/>
                <w:b/>
                <w:bCs w:val="0"/>
                <w:color w:val="auto"/>
                <w:sz w:val="18"/>
                <w:szCs w:val="18"/>
                <w:highlight w:val="none"/>
              </w:rPr>
            </w:pPr>
          </w:p>
        </w:tc>
        <w:tc>
          <w:tcPr>
            <w:tcW w:w="684"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2</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lang w:eastAsia="zh-CN"/>
              </w:rPr>
            </w:pPr>
            <w:r>
              <w:rPr>
                <w:rFonts w:hint="eastAsia" w:asciiTheme="minorHAnsi" w:hAnsiTheme="minorHAnsi" w:eastAsiaTheme="minorHAnsi"/>
                <w:b/>
                <w:bCs w:val="0"/>
                <w:color w:val="auto"/>
                <w:sz w:val="18"/>
                <w:szCs w:val="18"/>
                <w:highlight w:val="none"/>
                <w:lang w:val="en-US" w:eastAsia="zh-CN"/>
              </w:rPr>
              <w:t>4</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571"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c>
          <w:tcPr>
            <w:tcW w:w="495" w:type="dxa"/>
            <w:vAlign w:val="center"/>
          </w:tcPr>
          <w:p>
            <w:pPr>
              <w:spacing w:line="240" w:lineRule="auto"/>
              <w:ind w:firstLine="0" w:firstLineChars="0"/>
              <w:jc w:val="center"/>
              <w:rPr>
                <w:rFonts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rPr>
              <w:t>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jc w:val="center"/>
        </w:trPr>
        <w:tc>
          <w:tcPr>
            <w:tcW w:w="397" w:type="dxa"/>
            <w:vMerge w:val="restart"/>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公共选修课</w:t>
            </w:r>
          </w:p>
        </w:tc>
        <w:tc>
          <w:tcPr>
            <w:tcW w:w="827" w:type="dxa"/>
            <w:vAlign w:val="center"/>
          </w:tcPr>
          <w:p>
            <w:pPr>
              <w:widowControl/>
              <w:spacing w:line="240" w:lineRule="auto"/>
              <w:ind w:firstLine="0" w:firstLineChars="0"/>
              <w:jc w:val="left"/>
              <w:textAlignment w:val="center"/>
              <w:rPr>
                <w:rFonts w:hint="default" w:eastAsia="宋体" w:asciiTheme="minorHAnsi" w:hAnsiTheme="minorHAnsi"/>
                <w:b/>
                <w:color w:val="auto"/>
                <w:kern w:val="0"/>
                <w:sz w:val="18"/>
                <w:szCs w:val="18"/>
                <w:highlight w:val="none"/>
                <w:lang w:val="en-US" w:eastAsia="zh-CN"/>
              </w:rPr>
            </w:pPr>
            <w:r>
              <w:rPr>
                <w:rFonts w:hint="eastAsia" w:asciiTheme="minorHAnsi" w:hAnsiTheme="minorHAnsi"/>
                <w:b w:val="0"/>
                <w:bCs/>
                <w:color w:val="auto"/>
                <w:kern w:val="0"/>
                <w:sz w:val="18"/>
                <w:szCs w:val="18"/>
                <w:highlight w:val="none"/>
                <w:lang w:val="en-US" w:eastAsia="zh-CN"/>
              </w:rPr>
              <w:t>g</w:t>
            </w:r>
            <w:r>
              <w:rPr>
                <w:rFonts w:hint="eastAsia" w:asciiTheme="minorHAnsi" w:hAnsiTheme="minorHAnsi" w:eastAsiaTheme="minorHAnsi"/>
                <w:b w:val="0"/>
                <w:bCs/>
                <w:color w:val="auto"/>
                <w:kern w:val="0"/>
                <w:sz w:val="18"/>
                <w:szCs w:val="18"/>
                <w:highlight w:val="none"/>
              </w:rPr>
              <w:t>x</w:t>
            </w:r>
            <w:r>
              <w:rPr>
                <w:rFonts w:hint="eastAsia" w:asciiTheme="minorHAnsi" w:hAnsiTheme="minorHAnsi"/>
                <w:b w:val="0"/>
                <w:bCs/>
                <w:color w:val="auto"/>
                <w:kern w:val="0"/>
                <w:sz w:val="18"/>
                <w:szCs w:val="18"/>
                <w:highlight w:val="none"/>
                <w:lang w:val="en-US" w:eastAsia="zh-CN"/>
              </w:rPr>
              <w:t>001</w:t>
            </w:r>
          </w:p>
        </w:tc>
        <w:tc>
          <w:tcPr>
            <w:tcW w:w="1731" w:type="dxa"/>
            <w:vMerge w:val="restart"/>
            <w:vAlign w:val="center"/>
          </w:tcPr>
          <w:p>
            <w:pPr>
              <w:spacing w:line="240" w:lineRule="auto"/>
              <w:ind w:firstLine="0" w:firstLineChars="0"/>
              <w:rPr>
                <w:rFonts w:asciiTheme="minorHAnsi" w:hAnsiTheme="minorHAnsi" w:eastAsiaTheme="minorHAnsi"/>
                <w:b/>
                <w:color w:val="auto"/>
                <w:sz w:val="18"/>
                <w:szCs w:val="18"/>
                <w:highlight w:val="none"/>
              </w:rPr>
            </w:pPr>
            <w:r>
              <w:rPr>
                <w:rFonts w:hint="eastAsia" w:asciiTheme="minorHAnsi" w:hAnsiTheme="minorHAnsi" w:eastAsiaTheme="minorHAnsi"/>
                <w:b/>
                <w:color w:val="auto"/>
                <w:kern w:val="0"/>
                <w:sz w:val="18"/>
                <w:szCs w:val="18"/>
                <w:highlight w:val="none"/>
              </w:rPr>
              <w:t>公共选修课程至少5学分</w:t>
            </w:r>
          </w:p>
        </w:tc>
        <w:tc>
          <w:tcPr>
            <w:tcW w:w="521" w:type="dxa"/>
            <w:vMerge w:val="restart"/>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5</w:t>
            </w:r>
          </w:p>
        </w:tc>
        <w:tc>
          <w:tcPr>
            <w:tcW w:w="458" w:type="dxa"/>
            <w:vMerge w:val="restart"/>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130</w:t>
            </w:r>
          </w:p>
        </w:tc>
        <w:tc>
          <w:tcPr>
            <w:tcW w:w="474" w:type="dxa"/>
            <w:vMerge w:val="restart"/>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130</w:t>
            </w:r>
          </w:p>
        </w:tc>
        <w:tc>
          <w:tcPr>
            <w:tcW w:w="456" w:type="dxa"/>
            <w:vMerge w:val="restart"/>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r>
              <w:rPr>
                <w:rFonts w:hint="eastAsia" w:asciiTheme="minorHAnsi" w:hAnsiTheme="minorHAnsi" w:eastAsiaTheme="minorHAnsi"/>
                <w:bCs/>
                <w:color w:val="auto"/>
                <w:sz w:val="18"/>
                <w:szCs w:val="18"/>
                <w:highlight w:val="none"/>
              </w:rPr>
              <w:t>0</w:t>
            </w:r>
          </w:p>
        </w:tc>
        <w:tc>
          <w:tcPr>
            <w:tcW w:w="422" w:type="dxa"/>
            <w:vMerge w:val="restart"/>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vMerge w:val="restart"/>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571" w:type="dxa"/>
            <w:vMerge w:val="restart"/>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571" w:type="dxa"/>
            <w:vMerge w:val="restart"/>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571" w:type="dxa"/>
            <w:vMerge w:val="restart"/>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571" w:type="dxa"/>
            <w:vMerge w:val="restart"/>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495" w:type="dxa"/>
            <w:vMerge w:val="restart"/>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jc w:val="center"/>
        </w:trPr>
        <w:tc>
          <w:tcPr>
            <w:tcW w:w="397" w:type="dxa"/>
            <w:vMerge w:val="continue"/>
            <w:vAlign w:val="center"/>
          </w:tcPr>
          <w:p>
            <w:pPr>
              <w:widowControl/>
              <w:spacing w:line="240" w:lineRule="auto"/>
              <w:ind w:firstLine="0" w:firstLineChars="0"/>
              <w:jc w:val="left"/>
              <w:textAlignment w:val="center"/>
              <w:rPr>
                <w:color w:val="auto"/>
                <w:highlight w:val="none"/>
              </w:rPr>
            </w:pPr>
          </w:p>
        </w:tc>
        <w:tc>
          <w:tcPr>
            <w:tcW w:w="827" w:type="dxa"/>
            <w:vAlign w:val="center"/>
          </w:tcPr>
          <w:p>
            <w:pPr>
              <w:widowControl/>
              <w:spacing w:line="240" w:lineRule="auto"/>
              <w:ind w:firstLine="0" w:firstLineChars="0"/>
              <w:jc w:val="left"/>
              <w:textAlignment w:val="center"/>
              <w:rPr>
                <w:rFonts w:hint="default" w:asciiTheme="minorHAnsi" w:hAnsiTheme="minorHAnsi"/>
                <w:b/>
                <w:color w:val="auto"/>
                <w:kern w:val="0"/>
                <w:sz w:val="18"/>
                <w:szCs w:val="18"/>
                <w:highlight w:val="none"/>
                <w:lang w:val="en-US" w:eastAsia="zh-CN"/>
              </w:rPr>
            </w:pPr>
            <w:r>
              <w:rPr>
                <w:rFonts w:hint="eastAsia" w:asciiTheme="minorHAnsi" w:hAnsiTheme="minorHAnsi"/>
                <w:b w:val="0"/>
                <w:bCs/>
                <w:color w:val="auto"/>
                <w:kern w:val="0"/>
                <w:sz w:val="18"/>
                <w:szCs w:val="18"/>
                <w:highlight w:val="none"/>
                <w:lang w:val="en-US" w:eastAsia="zh-CN"/>
              </w:rPr>
              <w:t>g</w:t>
            </w:r>
            <w:r>
              <w:rPr>
                <w:rFonts w:hint="eastAsia" w:asciiTheme="minorHAnsi" w:hAnsiTheme="minorHAnsi" w:eastAsiaTheme="minorHAnsi"/>
                <w:b w:val="0"/>
                <w:bCs/>
                <w:color w:val="auto"/>
                <w:kern w:val="0"/>
                <w:sz w:val="18"/>
                <w:szCs w:val="18"/>
                <w:highlight w:val="none"/>
              </w:rPr>
              <w:t>x</w:t>
            </w:r>
            <w:r>
              <w:rPr>
                <w:rFonts w:hint="eastAsia" w:asciiTheme="minorHAnsi" w:hAnsiTheme="minorHAnsi"/>
                <w:b w:val="0"/>
                <w:bCs/>
                <w:color w:val="auto"/>
                <w:kern w:val="0"/>
                <w:sz w:val="18"/>
                <w:szCs w:val="18"/>
                <w:highlight w:val="none"/>
                <w:lang w:val="en-US" w:eastAsia="zh-CN"/>
              </w:rPr>
              <w:t>002</w:t>
            </w:r>
          </w:p>
        </w:tc>
        <w:tc>
          <w:tcPr>
            <w:tcW w:w="173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2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8"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7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6"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22" w:type="dxa"/>
            <w:vMerge w:val="continue"/>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68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95"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jc w:val="center"/>
        </w:trPr>
        <w:tc>
          <w:tcPr>
            <w:tcW w:w="397"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827" w:type="dxa"/>
            <w:vAlign w:val="center"/>
          </w:tcPr>
          <w:p>
            <w:pPr>
              <w:widowControl/>
              <w:spacing w:line="240" w:lineRule="auto"/>
              <w:ind w:firstLine="0" w:firstLineChars="0"/>
              <w:jc w:val="left"/>
              <w:textAlignment w:val="center"/>
              <w:rPr>
                <w:rFonts w:hint="default" w:asciiTheme="minorHAnsi" w:hAnsiTheme="minorHAnsi"/>
                <w:b/>
                <w:color w:val="auto"/>
                <w:kern w:val="0"/>
                <w:sz w:val="18"/>
                <w:szCs w:val="18"/>
                <w:highlight w:val="none"/>
                <w:lang w:val="en-US" w:eastAsia="zh-CN"/>
              </w:rPr>
            </w:pPr>
            <w:r>
              <w:rPr>
                <w:rFonts w:hint="eastAsia" w:asciiTheme="minorHAnsi" w:hAnsiTheme="minorHAnsi"/>
                <w:b w:val="0"/>
                <w:bCs/>
                <w:color w:val="auto"/>
                <w:kern w:val="0"/>
                <w:sz w:val="18"/>
                <w:szCs w:val="18"/>
                <w:highlight w:val="none"/>
                <w:lang w:val="en-US" w:eastAsia="zh-CN"/>
              </w:rPr>
              <w:t>g</w:t>
            </w:r>
            <w:r>
              <w:rPr>
                <w:rFonts w:hint="eastAsia" w:asciiTheme="minorHAnsi" w:hAnsiTheme="minorHAnsi" w:eastAsiaTheme="minorHAnsi"/>
                <w:b w:val="0"/>
                <w:bCs/>
                <w:color w:val="auto"/>
                <w:kern w:val="0"/>
                <w:sz w:val="18"/>
                <w:szCs w:val="18"/>
                <w:highlight w:val="none"/>
              </w:rPr>
              <w:t>x</w:t>
            </w:r>
            <w:r>
              <w:rPr>
                <w:rFonts w:hint="eastAsia" w:asciiTheme="minorHAnsi" w:hAnsiTheme="minorHAnsi"/>
                <w:b w:val="0"/>
                <w:bCs/>
                <w:color w:val="auto"/>
                <w:kern w:val="0"/>
                <w:sz w:val="18"/>
                <w:szCs w:val="18"/>
                <w:highlight w:val="none"/>
                <w:lang w:val="en-US" w:eastAsia="zh-CN"/>
              </w:rPr>
              <w:t>003</w:t>
            </w:r>
          </w:p>
        </w:tc>
        <w:tc>
          <w:tcPr>
            <w:tcW w:w="173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2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8"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7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6"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22" w:type="dxa"/>
            <w:vMerge w:val="continue"/>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68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95"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jc w:val="center"/>
        </w:trPr>
        <w:tc>
          <w:tcPr>
            <w:tcW w:w="397"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827" w:type="dxa"/>
            <w:vAlign w:val="center"/>
          </w:tcPr>
          <w:p>
            <w:pPr>
              <w:widowControl/>
              <w:spacing w:line="240" w:lineRule="auto"/>
              <w:ind w:firstLine="0" w:firstLineChars="0"/>
              <w:jc w:val="left"/>
              <w:textAlignment w:val="center"/>
              <w:rPr>
                <w:rFonts w:hint="default" w:asciiTheme="minorHAnsi" w:hAnsiTheme="minorHAnsi"/>
                <w:b/>
                <w:color w:val="auto"/>
                <w:kern w:val="0"/>
                <w:sz w:val="18"/>
                <w:szCs w:val="18"/>
                <w:highlight w:val="none"/>
                <w:lang w:val="en-US" w:eastAsia="zh-CN"/>
              </w:rPr>
            </w:pPr>
            <w:r>
              <w:rPr>
                <w:rFonts w:hint="eastAsia" w:asciiTheme="minorHAnsi" w:hAnsiTheme="minorHAnsi"/>
                <w:b w:val="0"/>
                <w:bCs/>
                <w:color w:val="auto"/>
                <w:kern w:val="0"/>
                <w:sz w:val="18"/>
                <w:szCs w:val="18"/>
                <w:highlight w:val="none"/>
                <w:lang w:val="en-US" w:eastAsia="zh-CN"/>
              </w:rPr>
              <w:t>g</w:t>
            </w:r>
            <w:r>
              <w:rPr>
                <w:rFonts w:hint="eastAsia" w:asciiTheme="minorHAnsi" w:hAnsiTheme="minorHAnsi" w:eastAsiaTheme="minorHAnsi"/>
                <w:b w:val="0"/>
                <w:bCs/>
                <w:color w:val="auto"/>
                <w:kern w:val="0"/>
                <w:sz w:val="18"/>
                <w:szCs w:val="18"/>
                <w:highlight w:val="none"/>
              </w:rPr>
              <w:t>x</w:t>
            </w:r>
            <w:r>
              <w:rPr>
                <w:rFonts w:hint="eastAsia" w:asciiTheme="minorHAnsi" w:hAnsiTheme="minorHAnsi"/>
                <w:b w:val="0"/>
                <w:bCs/>
                <w:color w:val="auto"/>
                <w:kern w:val="0"/>
                <w:sz w:val="18"/>
                <w:szCs w:val="18"/>
                <w:highlight w:val="none"/>
                <w:lang w:val="en-US" w:eastAsia="zh-CN"/>
              </w:rPr>
              <w:t>004</w:t>
            </w:r>
          </w:p>
        </w:tc>
        <w:tc>
          <w:tcPr>
            <w:tcW w:w="173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2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8"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7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6"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22" w:type="dxa"/>
            <w:vMerge w:val="continue"/>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68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95"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jc w:val="center"/>
        </w:trPr>
        <w:tc>
          <w:tcPr>
            <w:tcW w:w="397"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827" w:type="dxa"/>
            <w:vAlign w:val="center"/>
          </w:tcPr>
          <w:p>
            <w:pPr>
              <w:widowControl/>
              <w:spacing w:line="240" w:lineRule="auto"/>
              <w:ind w:firstLine="0" w:firstLineChars="0"/>
              <w:jc w:val="left"/>
              <w:textAlignment w:val="center"/>
              <w:rPr>
                <w:rFonts w:hint="default" w:asciiTheme="minorHAnsi" w:hAnsiTheme="minorHAnsi"/>
                <w:b/>
                <w:color w:val="auto"/>
                <w:kern w:val="0"/>
                <w:sz w:val="18"/>
                <w:szCs w:val="18"/>
                <w:highlight w:val="none"/>
                <w:lang w:val="en-US" w:eastAsia="zh-CN"/>
              </w:rPr>
            </w:pPr>
            <w:r>
              <w:rPr>
                <w:rFonts w:hint="eastAsia" w:asciiTheme="minorHAnsi" w:hAnsiTheme="minorHAnsi"/>
                <w:b w:val="0"/>
                <w:bCs/>
                <w:color w:val="auto"/>
                <w:kern w:val="0"/>
                <w:sz w:val="18"/>
                <w:szCs w:val="18"/>
                <w:highlight w:val="none"/>
                <w:lang w:val="en-US" w:eastAsia="zh-CN"/>
              </w:rPr>
              <w:t>g</w:t>
            </w:r>
            <w:r>
              <w:rPr>
                <w:rFonts w:hint="eastAsia" w:asciiTheme="minorHAnsi" w:hAnsiTheme="minorHAnsi" w:eastAsiaTheme="minorHAnsi"/>
                <w:b w:val="0"/>
                <w:bCs/>
                <w:color w:val="auto"/>
                <w:kern w:val="0"/>
                <w:sz w:val="18"/>
                <w:szCs w:val="18"/>
                <w:highlight w:val="none"/>
              </w:rPr>
              <w:t>x</w:t>
            </w:r>
            <w:r>
              <w:rPr>
                <w:rFonts w:hint="eastAsia" w:asciiTheme="minorHAnsi" w:hAnsiTheme="minorHAnsi"/>
                <w:b w:val="0"/>
                <w:bCs/>
                <w:color w:val="auto"/>
                <w:kern w:val="0"/>
                <w:sz w:val="18"/>
                <w:szCs w:val="18"/>
                <w:highlight w:val="none"/>
                <w:lang w:val="en-US" w:eastAsia="zh-CN"/>
              </w:rPr>
              <w:t>005</w:t>
            </w:r>
          </w:p>
        </w:tc>
        <w:tc>
          <w:tcPr>
            <w:tcW w:w="173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2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8"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7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56"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22" w:type="dxa"/>
            <w:vMerge w:val="continue"/>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684"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571"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c>
          <w:tcPr>
            <w:tcW w:w="495" w:type="dxa"/>
            <w:vMerge w:val="continue"/>
            <w:vAlign w:val="center"/>
          </w:tcPr>
          <w:p>
            <w:pPr>
              <w:widowControl/>
              <w:spacing w:line="240" w:lineRule="auto"/>
              <w:ind w:firstLine="0" w:firstLineChars="0"/>
              <w:jc w:val="left"/>
              <w:textAlignment w:val="center"/>
              <w:rPr>
                <w:rFonts w:hint="eastAsia" w:asciiTheme="minorHAnsi" w:hAnsiTheme="minorHAnsi"/>
                <w:b/>
                <w:color w:val="auto"/>
                <w:kern w:val="0"/>
                <w:sz w:val="18"/>
                <w:szCs w:val="18"/>
                <w:highlight w:val="none"/>
                <w:lang w:val="en-US" w:eastAsia="zh-CN"/>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8" w:hRule="atLeast"/>
          <w:jc w:val="center"/>
        </w:trPr>
        <w:tc>
          <w:tcPr>
            <w:tcW w:w="397" w:type="dxa"/>
            <w:vMerge w:val="continue"/>
            <w:vAlign w:val="center"/>
          </w:tcPr>
          <w:p>
            <w:pPr>
              <w:widowControl/>
              <w:spacing w:line="240" w:lineRule="auto"/>
              <w:ind w:firstLine="0" w:firstLineChars="0"/>
              <w:jc w:val="center"/>
              <w:rPr>
                <w:rFonts w:asciiTheme="minorHAnsi" w:hAnsiTheme="minorHAnsi" w:eastAsiaTheme="minorHAnsi"/>
                <w:b/>
                <w:color w:val="auto"/>
                <w:sz w:val="18"/>
                <w:szCs w:val="18"/>
                <w:highlight w:val="none"/>
              </w:rPr>
            </w:pPr>
          </w:p>
        </w:tc>
        <w:tc>
          <w:tcPr>
            <w:tcW w:w="2558" w:type="dxa"/>
            <w:gridSpan w:val="2"/>
            <w:vAlign w:val="center"/>
          </w:tcPr>
          <w:p>
            <w:pPr>
              <w:spacing w:line="240" w:lineRule="auto"/>
              <w:ind w:firstLine="0" w:firstLineChars="0"/>
              <w:jc w:val="center"/>
              <w:rPr>
                <w:rFonts w:asciiTheme="minorHAnsi" w:hAnsiTheme="minorHAnsi" w:eastAsiaTheme="minorHAnsi"/>
                <w:b/>
                <w:color w:val="auto"/>
                <w:kern w:val="0"/>
                <w:sz w:val="18"/>
                <w:szCs w:val="18"/>
                <w:highlight w:val="none"/>
              </w:rPr>
            </w:pPr>
            <w:r>
              <w:rPr>
                <w:rFonts w:hint="eastAsia" w:asciiTheme="minorHAnsi" w:hAnsiTheme="minorHAnsi" w:eastAsiaTheme="minorHAnsi"/>
                <w:bCs/>
                <w:color w:val="auto"/>
                <w:sz w:val="18"/>
                <w:szCs w:val="18"/>
                <w:highlight w:val="none"/>
              </w:rPr>
              <w:t>小计</w:t>
            </w:r>
          </w:p>
        </w:tc>
        <w:tc>
          <w:tcPr>
            <w:tcW w:w="521" w:type="dxa"/>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458" w:type="dxa"/>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474" w:type="dxa"/>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456" w:type="dxa"/>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422" w:type="dxa"/>
          </w:tcPr>
          <w:p>
            <w:pPr>
              <w:spacing w:line="240" w:lineRule="auto"/>
              <w:ind w:firstLine="0" w:firstLineChars="0"/>
              <w:jc w:val="center"/>
              <w:rPr>
                <w:rFonts w:asciiTheme="minorHAnsi" w:hAnsiTheme="minorHAnsi" w:eastAsiaTheme="minorHAnsi"/>
                <w:bCs/>
                <w:color w:val="auto"/>
                <w:sz w:val="18"/>
                <w:szCs w:val="18"/>
                <w:highlight w:val="none"/>
              </w:rPr>
            </w:pPr>
          </w:p>
        </w:tc>
        <w:tc>
          <w:tcPr>
            <w:tcW w:w="684" w:type="dxa"/>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571" w:type="dxa"/>
            <w:vAlign w:val="center"/>
          </w:tcPr>
          <w:p>
            <w:pPr>
              <w:widowControl/>
              <w:spacing w:line="240" w:lineRule="auto"/>
              <w:ind w:firstLine="0" w:firstLineChars="0"/>
              <w:jc w:val="center"/>
              <w:textAlignment w:val="center"/>
              <w:rPr>
                <w:rFonts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571" w:type="dxa"/>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c>
          <w:tcPr>
            <w:tcW w:w="495" w:type="dxa"/>
            <w:vAlign w:val="center"/>
          </w:tcPr>
          <w:p>
            <w:pPr>
              <w:spacing w:line="240" w:lineRule="auto"/>
              <w:ind w:firstLine="0" w:firstLineChars="0"/>
              <w:jc w:val="center"/>
              <w:rPr>
                <w:rFonts w:asciiTheme="minorHAnsi" w:hAnsiTheme="minorHAnsi" w:eastAsiaTheme="minorHAnsi"/>
                <w:bCs/>
                <w:color w:val="auto"/>
                <w:sz w:val="18"/>
                <w:szCs w:val="18"/>
                <w:highlight w:val="none"/>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jc w:val="center"/>
        </w:trPr>
        <w:tc>
          <w:tcPr>
            <w:tcW w:w="2955" w:type="dxa"/>
            <w:gridSpan w:val="3"/>
            <w:vAlign w:val="center"/>
          </w:tcPr>
          <w:p>
            <w:pPr>
              <w:spacing w:line="240" w:lineRule="auto"/>
              <w:ind w:firstLine="0" w:firstLineChars="0"/>
              <w:jc w:val="center"/>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合计</w:t>
            </w:r>
          </w:p>
        </w:tc>
        <w:tc>
          <w:tcPr>
            <w:tcW w:w="521"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eastAsia="zh-CN"/>
              </w:rPr>
            </w:pPr>
            <w:r>
              <w:rPr>
                <w:rFonts w:hint="eastAsia" w:asciiTheme="minorHAnsi" w:hAnsiTheme="minorHAnsi" w:eastAsiaTheme="minorHAnsi"/>
                <w:b/>
                <w:bCs w:val="0"/>
                <w:color w:val="auto"/>
                <w:sz w:val="18"/>
                <w:szCs w:val="18"/>
                <w:highlight w:val="none"/>
              </w:rPr>
              <w:t>15</w:t>
            </w:r>
            <w:r>
              <w:rPr>
                <w:rFonts w:hint="eastAsia" w:asciiTheme="minorHAnsi" w:hAnsiTheme="minorHAnsi" w:eastAsiaTheme="minorHAnsi"/>
                <w:b/>
                <w:bCs w:val="0"/>
                <w:color w:val="auto"/>
                <w:sz w:val="18"/>
                <w:szCs w:val="18"/>
                <w:highlight w:val="none"/>
                <w:lang w:val="en-US" w:eastAsia="zh-CN"/>
              </w:rPr>
              <w:t>2.5</w:t>
            </w:r>
          </w:p>
        </w:tc>
        <w:tc>
          <w:tcPr>
            <w:tcW w:w="458"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rPr>
            </w:pPr>
            <w:r>
              <w:rPr>
                <w:rFonts w:hint="eastAsia" w:asciiTheme="minorHAnsi" w:hAnsiTheme="minorHAnsi" w:eastAsiaTheme="minorHAnsi"/>
                <w:b/>
                <w:bCs w:val="0"/>
                <w:color w:val="auto"/>
                <w:sz w:val="18"/>
                <w:szCs w:val="18"/>
                <w:highlight w:val="none"/>
                <w:lang w:val="en-US" w:eastAsia="zh-CN"/>
              </w:rPr>
              <w:t>2516</w:t>
            </w:r>
          </w:p>
        </w:tc>
        <w:tc>
          <w:tcPr>
            <w:tcW w:w="474" w:type="dxa"/>
            <w:vAlign w:val="center"/>
          </w:tcPr>
          <w:p>
            <w:pPr>
              <w:widowControl/>
              <w:spacing w:line="240" w:lineRule="auto"/>
              <w:ind w:firstLine="0" w:firstLineChars="0"/>
              <w:jc w:val="center"/>
              <w:textAlignment w:val="center"/>
              <w:rPr>
                <w:rFonts w:hint="default" w:asciiTheme="minorHAnsi" w:hAnsiTheme="minorHAnsi" w:eastAsiaTheme="minorHAnsi"/>
                <w:b/>
                <w:bCs w:val="0"/>
                <w:color w:val="auto"/>
                <w:sz w:val="18"/>
                <w:szCs w:val="18"/>
                <w:highlight w:val="none"/>
                <w:lang w:val="en-US"/>
              </w:rPr>
            </w:pPr>
            <w:r>
              <w:rPr>
                <w:rFonts w:hint="eastAsia" w:asciiTheme="minorHAnsi" w:hAnsiTheme="minorHAnsi" w:eastAsiaTheme="minorHAnsi"/>
                <w:b/>
                <w:bCs w:val="0"/>
                <w:color w:val="auto"/>
                <w:sz w:val="18"/>
                <w:szCs w:val="18"/>
                <w:highlight w:val="none"/>
                <w:lang w:val="en-US" w:eastAsia="zh-CN"/>
              </w:rPr>
              <w:t>1004</w:t>
            </w:r>
          </w:p>
        </w:tc>
        <w:tc>
          <w:tcPr>
            <w:tcW w:w="456"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1512</w:t>
            </w:r>
          </w:p>
        </w:tc>
        <w:tc>
          <w:tcPr>
            <w:tcW w:w="422"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341</w:t>
            </w:r>
          </w:p>
        </w:tc>
        <w:tc>
          <w:tcPr>
            <w:tcW w:w="684"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25</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28</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23</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22</w:t>
            </w:r>
          </w:p>
        </w:tc>
        <w:tc>
          <w:tcPr>
            <w:tcW w:w="571"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14</w:t>
            </w:r>
          </w:p>
        </w:tc>
        <w:tc>
          <w:tcPr>
            <w:tcW w:w="495" w:type="dxa"/>
            <w:vAlign w:val="center"/>
          </w:tcPr>
          <w:p>
            <w:pPr>
              <w:widowControl/>
              <w:spacing w:line="240" w:lineRule="auto"/>
              <w:ind w:firstLine="0" w:firstLineChars="0"/>
              <w:jc w:val="center"/>
              <w:textAlignment w:val="center"/>
              <w:rPr>
                <w:rFonts w:hint="eastAsia" w:asciiTheme="minorHAnsi" w:hAnsiTheme="minorHAnsi" w:eastAsiaTheme="minorHAnsi"/>
                <w:b/>
                <w:bCs w:val="0"/>
                <w:color w:val="auto"/>
                <w:sz w:val="18"/>
                <w:szCs w:val="18"/>
                <w:highlight w:val="none"/>
              </w:rPr>
            </w:pPr>
            <w:r>
              <w:rPr>
                <w:rFonts w:hint="eastAsia" w:asciiTheme="minorHAnsi" w:hAnsiTheme="minorHAnsi" w:eastAsiaTheme="minorHAnsi"/>
                <w:b/>
                <w:bCs w:val="0"/>
                <w:color w:val="auto"/>
                <w:sz w:val="18"/>
                <w:szCs w:val="18"/>
                <w:highlight w:val="none"/>
                <w:lang w:val="en-US" w:eastAsia="zh-CN"/>
              </w:rPr>
              <w:t>0</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 w:hRule="atLeast"/>
          <w:jc w:val="center"/>
        </w:trPr>
        <w:tc>
          <w:tcPr>
            <w:tcW w:w="8749" w:type="dxa"/>
            <w:gridSpan w:val="14"/>
          </w:tcPr>
          <w:p>
            <w:pPr>
              <w:spacing w:line="240" w:lineRule="auto"/>
              <w:ind w:firstLine="360"/>
              <w:jc w:val="left"/>
              <w:rPr>
                <w:rFonts w:asciiTheme="minorHAnsi" w:hAnsiTheme="minorHAnsi" w:eastAsiaTheme="minorHAnsi"/>
                <w:b/>
                <w:color w:val="auto"/>
                <w:sz w:val="18"/>
                <w:szCs w:val="18"/>
                <w:highlight w:val="none"/>
              </w:rPr>
            </w:pPr>
            <w:r>
              <w:rPr>
                <w:rFonts w:hint="eastAsia" w:asciiTheme="minorHAnsi" w:hAnsiTheme="minorHAnsi" w:eastAsiaTheme="minorHAnsi"/>
                <w:b/>
                <w:color w:val="auto"/>
                <w:sz w:val="18"/>
                <w:szCs w:val="18"/>
                <w:highlight w:val="none"/>
              </w:rPr>
              <w:t>注：</w:t>
            </w:r>
            <w:r>
              <w:rPr>
                <w:rFonts w:hint="eastAsia" w:asciiTheme="minorHAnsi" w:hAnsiTheme="minorHAnsi" w:eastAsiaTheme="minorHAnsi"/>
                <w:b/>
                <w:color w:val="auto"/>
                <w:kern w:val="0"/>
                <w:sz w:val="18"/>
                <w:szCs w:val="18"/>
                <w:highlight w:val="none"/>
              </w:rPr>
              <w:t>用“■”表示考试课程，用“▲”表示独立开设的实践教学环节，用“</w:t>
            </w:r>
            <w:r>
              <w:rPr>
                <w:rFonts w:hint="eastAsia" w:ascii="MS Gothic" w:hAnsi="MS Gothic" w:eastAsia="MS Gothic" w:cs="MS Gothic"/>
                <w:color w:val="auto"/>
                <w:kern w:val="0"/>
                <w:sz w:val="18"/>
                <w:szCs w:val="18"/>
                <w:highlight w:val="none"/>
              </w:rPr>
              <w:t>◈</w:t>
            </w:r>
            <w:r>
              <w:rPr>
                <w:rFonts w:hint="eastAsia" w:asciiTheme="minorHAnsi" w:hAnsiTheme="minorHAnsi" w:eastAsiaTheme="minorHAnsi"/>
                <w:b/>
                <w:color w:val="auto"/>
                <w:kern w:val="0"/>
                <w:sz w:val="18"/>
                <w:szCs w:val="18"/>
                <w:highlight w:val="none"/>
              </w:rPr>
              <w:t>”表示创新创业课程</w:t>
            </w:r>
            <w:r>
              <w:rPr>
                <w:rFonts w:asciiTheme="minorHAnsi" w:hAnsiTheme="minorHAnsi" w:eastAsiaTheme="minorHAnsi"/>
                <w:b/>
                <w:color w:val="auto"/>
                <w:sz w:val="18"/>
                <w:szCs w:val="18"/>
                <w:highlight w:val="none"/>
              </w:rPr>
              <w:t>；</w:t>
            </w:r>
          </w:p>
        </w:tc>
      </w:tr>
    </w:tbl>
    <w:p>
      <w:pPr>
        <w:widowControl/>
        <w:spacing w:before="240" w:beforeLines="100" w:after="240" w:afterLines="100"/>
        <w:ind w:firstLine="0" w:firstLineChars="0"/>
        <w:jc w:val="both"/>
        <w:rPr>
          <w:color w:val="auto"/>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85797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right"/>
    </w:pPr>
    <w:r>
      <w:rPr>
        <w:rFonts w:hint="eastAsia" w:ascii="黑体" w:eastAsia="黑体"/>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08785" cy="240665"/>
          <wp:effectExtent l="0" t="0" r="5715" b="6985"/>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8785" cy="240665"/>
                  </a:xfrm>
                  <a:prstGeom prst="rect">
                    <a:avLst/>
                  </a:prstGeom>
                  <a:noFill/>
                  <a:ln>
                    <a:noFill/>
                  </a:ln>
                </pic:spPr>
              </pic:pic>
            </a:graphicData>
          </a:graphic>
        </wp:anchor>
      </w:drawing>
    </w:r>
    <w:r>
      <w:rPr>
        <w:rFonts w:hint="eastAsia" w:ascii="黑体" w:eastAsia="黑体"/>
        <w:sz w:val="21"/>
        <w:szCs w:val="21"/>
      </w:rPr>
      <w:t>电子商务专业人才培养方案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E3D41"/>
    <w:multiLevelType w:val="singleLevel"/>
    <w:tmpl w:val="BB6E3D41"/>
    <w:lvl w:ilvl="0" w:tentative="0">
      <w:start w:val="1"/>
      <w:numFmt w:val="decimal"/>
      <w:lvlText w:val="%1."/>
      <w:lvlJc w:val="left"/>
      <w:pPr>
        <w:tabs>
          <w:tab w:val="left" w:pos="312"/>
        </w:tabs>
      </w:pPr>
    </w:lvl>
  </w:abstractNum>
  <w:abstractNum w:abstractNumId="1">
    <w:nsid w:val="2024AFD3"/>
    <w:multiLevelType w:val="singleLevel"/>
    <w:tmpl w:val="2024AFD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mE2ODYwZWIxY2YyN2RiYzEwOGVjMzg0OWM0NTAifQ=="/>
  </w:docVars>
  <w:rsids>
    <w:rsidRoot w:val="00172A27"/>
    <w:rsid w:val="061D44DA"/>
    <w:rsid w:val="091F5EE2"/>
    <w:rsid w:val="096E001E"/>
    <w:rsid w:val="32B65491"/>
    <w:rsid w:val="3D5C7B4E"/>
    <w:rsid w:val="42CA60BE"/>
    <w:rsid w:val="44DE6253"/>
    <w:rsid w:val="525D1A55"/>
    <w:rsid w:val="60BC49A3"/>
    <w:rsid w:val="6C1B08D4"/>
    <w:rsid w:val="7260240F"/>
    <w:rsid w:val="7A627AD2"/>
    <w:rsid w:val="7AB6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23299</Words>
  <Characters>24275</Characters>
  <Lines>0</Lines>
  <Paragraphs>0</Paragraphs>
  <TotalTime>34</TotalTime>
  <ScaleCrop>false</ScaleCrop>
  <LinksUpToDate>false</LinksUpToDate>
  <CharactersWithSpaces>24278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2020-11-21T02:05:00Z</dcterms:created>
  <dc:creator>Administrator</dc:creator>
  <cp:lastModifiedBy>汐小默</cp:lastModifiedBy>
  <dcterms:modified xsi:type="dcterms:W3CDTF">2024-06-04T02:02:51Z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A9A6EEADDF9B4F8AB5EBDE340C5CABC8_13</vt:lpwstr>
  </property>
</Properties>
</file>